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CA984" w14:textId="5221F279" w:rsidR="00453B12" w:rsidRPr="00C11589" w:rsidRDefault="00453B12" w:rsidP="00453B12">
      <w:pPr>
        <w:widowControl w:val="0"/>
        <w:tabs>
          <w:tab w:val="right" w:pos="9639"/>
        </w:tabs>
        <w:spacing w:after="0"/>
        <w:rPr>
          <w:rFonts w:ascii="Arial" w:eastAsia="Times New Roman" w:hAnsi="Arial"/>
          <w:b/>
          <w:bCs/>
          <w:sz w:val="24"/>
          <w:szCs w:val="24"/>
        </w:rPr>
      </w:pPr>
      <w:r w:rsidRPr="43509EA9">
        <w:rPr>
          <w:rFonts w:ascii="Arial" w:eastAsia="Times New Roman" w:hAnsi="Arial"/>
          <w:b/>
          <w:bCs/>
          <w:sz w:val="24"/>
          <w:szCs w:val="24"/>
        </w:rPr>
        <w:t>3GPP TSG-RAN WG2 Meeting #1</w:t>
      </w:r>
      <w:r w:rsidR="00852293" w:rsidRPr="43509EA9">
        <w:rPr>
          <w:rFonts w:ascii="Arial" w:eastAsia="Times New Roman" w:hAnsi="Arial"/>
          <w:b/>
          <w:bCs/>
          <w:sz w:val="24"/>
          <w:szCs w:val="24"/>
        </w:rPr>
        <w:t>3</w:t>
      </w:r>
      <w:r w:rsidR="007C2991" w:rsidRPr="43509EA9">
        <w:rPr>
          <w:rFonts w:ascii="Arial" w:eastAsia="Times New Roman" w:hAnsi="Arial"/>
          <w:b/>
          <w:bCs/>
          <w:sz w:val="24"/>
          <w:szCs w:val="24"/>
        </w:rPr>
        <w:t>1</w:t>
      </w:r>
      <w:r w:rsidR="00F4750F">
        <w:rPr>
          <w:rFonts w:ascii="Arial" w:eastAsia="Times New Roman" w:hAnsi="Arial"/>
          <w:b/>
          <w:bCs/>
          <w:sz w:val="24"/>
          <w:szCs w:val="24"/>
        </w:rPr>
        <w:t>bis</w:t>
      </w:r>
      <w:r w:rsidRPr="43509EA9">
        <w:rPr>
          <w:rFonts w:ascii="Arial" w:eastAsia="Times New Roman" w:hAnsi="Arial"/>
          <w:b/>
          <w:bCs/>
          <w:sz w:val="24"/>
          <w:szCs w:val="24"/>
        </w:rPr>
        <w:t xml:space="preserve">                                    </w:t>
      </w:r>
      <w:r>
        <w:tab/>
      </w:r>
      <w:r w:rsidRPr="43509EA9">
        <w:rPr>
          <w:rFonts w:ascii="Arial" w:eastAsia="Times New Roman" w:hAnsi="Arial"/>
          <w:b/>
          <w:bCs/>
          <w:sz w:val="24"/>
          <w:szCs w:val="24"/>
        </w:rPr>
        <w:t>R2-2</w:t>
      </w:r>
      <w:r w:rsidR="005C7500" w:rsidRPr="43509EA9">
        <w:rPr>
          <w:rFonts w:ascii="Arial" w:eastAsia="Times New Roman" w:hAnsi="Arial"/>
          <w:b/>
          <w:bCs/>
          <w:sz w:val="24"/>
          <w:szCs w:val="24"/>
        </w:rPr>
        <w:t>50</w:t>
      </w:r>
      <w:r w:rsidR="00421E24">
        <w:rPr>
          <w:rFonts w:ascii="Arial" w:eastAsia="Times New Roman" w:hAnsi="Arial"/>
          <w:b/>
          <w:bCs/>
          <w:sz w:val="24"/>
          <w:szCs w:val="24"/>
        </w:rPr>
        <w:t>7440</w:t>
      </w:r>
    </w:p>
    <w:p w14:paraId="3CF0036C" w14:textId="19032ADE" w:rsidR="00453B12" w:rsidRDefault="00F4750F" w:rsidP="00453B12">
      <w:pPr>
        <w:widowControl w:val="0"/>
        <w:tabs>
          <w:tab w:val="right" w:pos="9639"/>
        </w:tabs>
        <w:spacing w:after="0"/>
        <w:rPr>
          <w:rFonts w:ascii="Arial" w:eastAsia="Times New Roman" w:hAnsi="Arial"/>
          <w:b/>
          <w:bCs/>
          <w:i/>
          <w:sz w:val="24"/>
          <w:szCs w:val="24"/>
        </w:rPr>
      </w:pPr>
      <w:r w:rsidRPr="00F4750F">
        <w:rPr>
          <w:rFonts w:ascii="Arial" w:eastAsia="Times New Roman" w:hAnsi="Arial"/>
          <w:b/>
          <w:bCs/>
          <w:sz w:val="24"/>
          <w:szCs w:val="24"/>
        </w:rPr>
        <w:t>Prague, Czech Republic, 13th - 17th October 2025</w:t>
      </w:r>
      <w:r w:rsidR="00222121" w:rsidRPr="00222121">
        <w:rPr>
          <w:rFonts w:ascii="Arial" w:eastAsia="Times New Roman" w:hAnsi="Arial"/>
          <w:b/>
          <w:bCs/>
          <w:sz w:val="24"/>
          <w:szCs w:val="24"/>
        </w:rPr>
        <w:t xml:space="preserve">                                  </w:t>
      </w:r>
      <w:r w:rsidR="00E25DAD" w:rsidRPr="00E25DAD">
        <w:rPr>
          <w:rFonts w:ascii="Arial" w:eastAsia="Times New Roman" w:hAnsi="Arial"/>
          <w:b/>
          <w:bCs/>
          <w:sz w:val="24"/>
          <w:szCs w:val="24"/>
        </w:rPr>
        <w:t xml:space="preserve">               </w:t>
      </w:r>
      <w:r w:rsidR="005A6301" w:rsidRPr="005A6301">
        <w:rPr>
          <w:rFonts w:ascii="Arial" w:eastAsia="Times New Roman" w:hAnsi="Arial"/>
          <w:b/>
          <w:bCs/>
          <w:sz w:val="24"/>
          <w:szCs w:val="24"/>
        </w:rPr>
        <w:t xml:space="preserve">                </w:t>
      </w:r>
      <w:r w:rsidR="00453B12" w:rsidRPr="00C11589">
        <w:rPr>
          <w:rFonts w:ascii="Arial" w:eastAsia="Times New Roman" w:hAnsi="Arial"/>
          <w:b/>
          <w:bCs/>
          <w:sz w:val="24"/>
          <w:szCs w:val="24"/>
        </w:rPr>
        <w:t xml:space="preserve">                </w:t>
      </w:r>
      <w:r w:rsidR="00453B12">
        <w:rPr>
          <w:rFonts w:ascii="Arial" w:hAnsi="Arial" w:cs="Arial"/>
          <w:b/>
          <w:bCs/>
          <w:color w:val="000000"/>
          <w:sz w:val="26"/>
          <w:szCs w:val="26"/>
        </w:rPr>
        <w:tab/>
        <w:t xml:space="preserve">              </w:t>
      </w:r>
    </w:p>
    <w:p w14:paraId="5EC0113C" w14:textId="77777777" w:rsidR="00453B12" w:rsidRDefault="00453B12" w:rsidP="00453B12">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0962242F" w14:textId="5950AA92" w:rsidR="00453B12" w:rsidRPr="006D3016" w:rsidRDefault="00453B12" w:rsidP="51D44DD7">
      <w:pPr>
        <w:tabs>
          <w:tab w:val="left" w:pos="1985"/>
        </w:tabs>
        <w:spacing w:after="120"/>
        <w:rPr>
          <w:rFonts w:ascii="Arial" w:eastAsia="MS Mincho" w:hAnsi="Arial" w:cs="Arial"/>
          <w:b/>
          <w:bCs/>
          <w:sz w:val="24"/>
          <w:szCs w:val="24"/>
        </w:rPr>
      </w:pPr>
      <w:r w:rsidRPr="51D44DD7">
        <w:rPr>
          <w:rFonts w:ascii="Arial" w:eastAsia="MS Mincho" w:hAnsi="Arial" w:cs="Arial"/>
          <w:b/>
          <w:bCs/>
          <w:sz w:val="24"/>
          <w:szCs w:val="24"/>
        </w:rPr>
        <w:t>Agenda item:</w:t>
      </w:r>
      <w:r>
        <w:tab/>
      </w:r>
      <w:r w:rsidR="001F709D" w:rsidRPr="51D44DD7">
        <w:rPr>
          <w:rFonts w:ascii="Arial" w:eastAsia="MS Mincho" w:hAnsi="Arial" w:cs="Arial"/>
          <w:b/>
          <w:bCs/>
          <w:sz w:val="24"/>
          <w:szCs w:val="24"/>
        </w:rPr>
        <w:t>8.8.</w:t>
      </w:r>
      <w:r w:rsidR="764D28A8" w:rsidRPr="51D44DD7">
        <w:rPr>
          <w:rFonts w:ascii="Arial" w:eastAsia="MS Mincho" w:hAnsi="Arial" w:cs="Arial"/>
          <w:b/>
          <w:bCs/>
          <w:sz w:val="24"/>
          <w:szCs w:val="24"/>
        </w:rPr>
        <w:t>2</w:t>
      </w:r>
    </w:p>
    <w:p w14:paraId="1512DC72" w14:textId="77777777" w:rsidR="00453B12" w:rsidRDefault="00453B12" w:rsidP="00453B1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F9FABD4" w14:textId="6BE7B00D" w:rsidR="00453B12" w:rsidRPr="006D3016" w:rsidRDefault="00453B12" w:rsidP="6B52B43B">
      <w:pPr>
        <w:ind w:left="1985" w:hanging="1985"/>
        <w:rPr>
          <w:rFonts w:ascii="Arial" w:eastAsia="Times New Roman" w:hAnsi="Arial" w:cs="Arial"/>
          <w:b/>
          <w:bCs/>
          <w:sz w:val="24"/>
          <w:szCs w:val="24"/>
        </w:rPr>
      </w:pPr>
      <w:r w:rsidRPr="6B52B43B">
        <w:rPr>
          <w:rFonts w:ascii="Arial" w:eastAsia="Times New Roman" w:hAnsi="Arial" w:cs="Arial"/>
          <w:b/>
          <w:bCs/>
          <w:sz w:val="24"/>
          <w:szCs w:val="24"/>
        </w:rPr>
        <w:t>Title:</w:t>
      </w:r>
      <w:r>
        <w:tab/>
      </w:r>
      <w:r w:rsidR="00137C32" w:rsidRPr="6B52B43B">
        <w:rPr>
          <w:rFonts w:ascii="Arial" w:eastAsia="Times New Roman" w:hAnsi="Arial" w:cs="Arial"/>
          <w:b/>
          <w:bCs/>
          <w:sz w:val="24"/>
          <w:szCs w:val="24"/>
        </w:rPr>
        <w:t>Remaining issues</w:t>
      </w:r>
      <w:r w:rsidR="00EE2404" w:rsidRPr="6B52B43B">
        <w:rPr>
          <w:rFonts w:ascii="Arial" w:eastAsia="Times New Roman" w:hAnsi="Arial" w:cs="Arial"/>
          <w:b/>
          <w:bCs/>
          <w:sz w:val="24"/>
          <w:szCs w:val="24"/>
        </w:rPr>
        <w:t xml:space="preserve"> on </w:t>
      </w:r>
      <w:r w:rsidR="00BA0ADD" w:rsidRPr="6B52B43B">
        <w:rPr>
          <w:rFonts w:ascii="Arial" w:eastAsia="Times New Roman" w:hAnsi="Arial" w:cs="Arial"/>
          <w:b/>
          <w:bCs/>
          <w:sz w:val="24"/>
          <w:szCs w:val="24"/>
        </w:rPr>
        <w:t xml:space="preserve">beam hopping with </w:t>
      </w:r>
      <w:r w:rsidR="00E60DEF" w:rsidRPr="6B52B43B">
        <w:rPr>
          <w:rFonts w:ascii="Arial" w:eastAsia="Times New Roman" w:hAnsi="Arial" w:cs="Arial"/>
          <w:b/>
          <w:bCs/>
          <w:sz w:val="24"/>
          <w:szCs w:val="24"/>
        </w:rPr>
        <w:t>multiple SMTC offsets</w:t>
      </w:r>
      <w:r w:rsidR="6015A38A" w:rsidRPr="6B52B43B">
        <w:rPr>
          <w:rFonts w:ascii="Arial" w:eastAsia="Times New Roman" w:hAnsi="Arial" w:cs="Arial"/>
          <w:b/>
          <w:bCs/>
          <w:sz w:val="24"/>
          <w:szCs w:val="24"/>
        </w:rPr>
        <w:t xml:space="preserve"> [Q200]</w:t>
      </w:r>
    </w:p>
    <w:p w14:paraId="7B8F9025" w14:textId="77777777" w:rsidR="00453B12" w:rsidRDefault="00453B12" w:rsidP="00453B12">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4D99DB1E" w14:textId="77777777" w:rsidR="00453B12" w:rsidRDefault="00453B12" w:rsidP="00453B12">
      <w:pPr>
        <w:pStyle w:val="Heading1"/>
        <w:numPr>
          <w:ilvl w:val="0"/>
          <w:numId w:val="6"/>
        </w:numPr>
        <w:pBdr>
          <w:top w:val="single" w:sz="12" w:space="2" w:color="auto"/>
        </w:pBdr>
        <w:tabs>
          <w:tab w:val="num" w:pos="720"/>
        </w:tabs>
        <w:ind w:left="720" w:hanging="720"/>
      </w:pPr>
      <w:r>
        <w:t xml:space="preserve">Introduction </w:t>
      </w:r>
    </w:p>
    <w:p w14:paraId="0EF6F15A" w14:textId="5E1C1FB7" w:rsidR="00330719" w:rsidRDefault="00330719" w:rsidP="00BC4C81">
      <w:pPr>
        <w:pStyle w:val="B1"/>
        <w:ind w:left="0" w:firstLine="0"/>
      </w:pPr>
      <w:r>
        <w:t>In RAN2#1</w:t>
      </w:r>
      <w:r w:rsidR="00F530AE">
        <w:t>3</w:t>
      </w:r>
      <w:r w:rsidR="00C66F52">
        <w:t>1</w:t>
      </w:r>
      <w:r w:rsidR="00894340">
        <w:t xml:space="preserve"> meeting, following agreements were made.</w:t>
      </w:r>
    </w:p>
    <w:p w14:paraId="72072ED3" w14:textId="77777777" w:rsidR="00466175" w:rsidRDefault="00B959E1" w:rsidP="00B959E1">
      <w:pPr>
        <w:pStyle w:val="Doc-text2"/>
        <w:pBdr>
          <w:top w:val="single" w:sz="4" w:space="1" w:color="auto"/>
          <w:left w:val="single" w:sz="4" w:space="4" w:color="auto"/>
          <w:bottom w:val="single" w:sz="4" w:space="1" w:color="auto"/>
          <w:right w:val="single" w:sz="4" w:space="4" w:color="auto"/>
        </w:pBdr>
      </w:pPr>
      <w:r>
        <w:t xml:space="preserve">1.    </w:t>
      </w:r>
      <w:r w:rsidRPr="008C1957">
        <w:t>RAN2 supports to configure two different SMTC periodicities (with different offsets) for SMTCs per frequency layer for idle/inactive/connected mode, and UE capability will be introduced for this purpose</w:t>
      </w:r>
      <w:r>
        <w:t xml:space="preserve"> (FFS if per UE or per band)</w:t>
      </w:r>
      <w:r w:rsidRPr="008C1957">
        <w:t>. If RAN4 cannot finish the corresponding RRM requirement design, we can introduce some statement in the specs in the future to limit the configuration to one periodicity only.</w:t>
      </w:r>
    </w:p>
    <w:p w14:paraId="1EE823B3" w14:textId="3C6E0C7A" w:rsidR="00B959E1" w:rsidRDefault="00466175" w:rsidP="00B959E1">
      <w:pPr>
        <w:pStyle w:val="Doc-text2"/>
        <w:pBdr>
          <w:top w:val="single" w:sz="4" w:space="1" w:color="auto"/>
          <w:left w:val="single" w:sz="4" w:space="4" w:color="auto"/>
          <w:bottom w:val="single" w:sz="4" w:space="1" w:color="auto"/>
          <w:right w:val="single" w:sz="4" w:space="4" w:color="auto"/>
        </w:pBdr>
      </w:pPr>
      <w:r>
        <w:t>2</w:t>
      </w:r>
      <w:r w:rsidR="00B959E1">
        <w:t>.</w:t>
      </w:r>
      <w:r w:rsidR="00B959E1">
        <w:tab/>
        <w:t xml:space="preserve">RAN2 reconfirms the understanding that if the NW configures more than 4 STMCs the UE </w:t>
      </w:r>
      <w:r w:rsidR="00B959E1" w:rsidRPr="00267CA1">
        <w:t xml:space="preserve">in idle/inactive </w:t>
      </w:r>
      <w:r w:rsidR="00B959E1">
        <w:t>the UE selects up to 4 STMCs (or less, depending on the UE capability) based on location and only considers them for measurements</w:t>
      </w:r>
    </w:p>
    <w:p w14:paraId="4AAE4D50" w14:textId="3B5289D1" w:rsidR="00B959E1" w:rsidRDefault="00466175" w:rsidP="00B959E1">
      <w:pPr>
        <w:pStyle w:val="Doc-text2"/>
        <w:pBdr>
          <w:top w:val="single" w:sz="4" w:space="1" w:color="auto"/>
          <w:left w:val="single" w:sz="4" w:space="4" w:color="auto"/>
          <w:bottom w:val="single" w:sz="4" w:space="1" w:color="auto"/>
          <w:right w:val="single" w:sz="4" w:space="4" w:color="auto"/>
        </w:pBdr>
      </w:pPr>
      <w:r>
        <w:t>3</w:t>
      </w:r>
      <w:r w:rsidR="00B959E1">
        <w:tab/>
        <w:t xml:space="preserve">In connected mode the NW will only configure up to 4 STMC. </w:t>
      </w:r>
    </w:p>
    <w:p w14:paraId="1BD8D440" w14:textId="3F2927CD" w:rsidR="00B959E1" w:rsidRDefault="00466175" w:rsidP="00B959E1">
      <w:pPr>
        <w:pStyle w:val="Doc-text2"/>
        <w:pBdr>
          <w:top w:val="single" w:sz="4" w:space="1" w:color="auto"/>
          <w:left w:val="single" w:sz="4" w:space="4" w:color="auto"/>
          <w:bottom w:val="single" w:sz="4" w:space="1" w:color="auto"/>
          <w:right w:val="single" w:sz="4" w:space="4" w:color="auto"/>
        </w:pBdr>
      </w:pPr>
      <w:r>
        <w:t>4</w:t>
      </w:r>
      <w:r w:rsidR="00B959E1">
        <w:t>.</w:t>
      </w:r>
      <w:r w:rsidR="00B959E1">
        <w:tab/>
      </w:r>
      <w:r w:rsidR="00B959E1" w:rsidRPr="00701DE2">
        <w:t>UE Assistance Information</w:t>
      </w:r>
      <w:r w:rsidR="00B959E1">
        <w:t xml:space="preserve"> message will include </w:t>
      </w:r>
      <w:r w:rsidR="00B959E1" w:rsidRPr="00701DE2">
        <w:t xml:space="preserve">information to </w:t>
      </w:r>
      <w:r w:rsidR="00B959E1">
        <w:t>the NW to (re)</w:t>
      </w:r>
      <w:r w:rsidR="00B959E1" w:rsidRPr="00701DE2">
        <w:t>configure the most relevant SMTCs for t</w:t>
      </w:r>
      <w:r w:rsidR="00B959E1">
        <w:t>he area where the UE is located</w:t>
      </w:r>
    </w:p>
    <w:p w14:paraId="68535B16" w14:textId="058DC266" w:rsidR="00B959E1" w:rsidRDefault="00466175" w:rsidP="00B959E1">
      <w:pPr>
        <w:pStyle w:val="Doc-text2"/>
        <w:pBdr>
          <w:top w:val="single" w:sz="4" w:space="1" w:color="auto"/>
          <w:left w:val="single" w:sz="4" w:space="4" w:color="auto"/>
          <w:bottom w:val="single" w:sz="4" w:space="1" w:color="auto"/>
          <w:right w:val="single" w:sz="4" w:space="4" w:color="auto"/>
        </w:pBdr>
      </w:pPr>
      <w:r>
        <w:t>5</w:t>
      </w:r>
      <w:r w:rsidR="00B959E1">
        <w:t>.</w:t>
      </w:r>
      <w:r w:rsidR="00B959E1">
        <w:tab/>
        <w:t>The procedure for UE assisted SMTC configuration in connected mode is follows:</w:t>
      </w:r>
    </w:p>
    <w:p w14:paraId="60DA51E7" w14:textId="77777777" w:rsidR="00B959E1" w:rsidRDefault="00B959E1" w:rsidP="00B959E1">
      <w:pPr>
        <w:pStyle w:val="Doc-text2"/>
        <w:pBdr>
          <w:top w:val="single" w:sz="4" w:space="1" w:color="auto"/>
          <w:left w:val="single" w:sz="4" w:space="4" w:color="auto"/>
          <w:bottom w:val="single" w:sz="4" w:space="1" w:color="auto"/>
          <w:right w:val="single" w:sz="4" w:space="4" w:color="auto"/>
        </w:pBdr>
      </w:pPr>
      <w:r>
        <w:tab/>
        <w:t>-</w:t>
      </w:r>
      <w:r>
        <w:tab/>
        <w:t xml:space="preserve">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3284EEE0" w14:textId="77777777" w:rsidR="00B959E1" w:rsidRDefault="00B959E1" w:rsidP="00B959E1">
      <w:pPr>
        <w:pStyle w:val="Doc-text2"/>
        <w:pBdr>
          <w:top w:val="single" w:sz="4" w:space="1" w:color="auto"/>
          <w:left w:val="single" w:sz="4" w:space="4" w:color="auto"/>
          <w:bottom w:val="single" w:sz="4" w:space="1" w:color="auto"/>
          <w:right w:val="single" w:sz="4" w:space="4" w:color="auto"/>
        </w:pBdr>
      </w:pPr>
      <w:r>
        <w:tab/>
        <w:t>-</w:t>
      </w:r>
      <w:r>
        <w:tab/>
        <w:t xml:space="preserve">The UE reports an indication of the N closest reference locations via UE assistance information, e.g. bitmap or list of indices of the locations. </w:t>
      </w:r>
    </w:p>
    <w:p w14:paraId="30CCC6B1" w14:textId="77777777" w:rsidR="00B959E1" w:rsidRDefault="00B959E1" w:rsidP="00B959E1">
      <w:pPr>
        <w:pStyle w:val="Doc-text2"/>
        <w:pBdr>
          <w:top w:val="single" w:sz="4" w:space="1" w:color="auto"/>
          <w:left w:val="single" w:sz="4" w:space="4" w:color="auto"/>
          <w:bottom w:val="single" w:sz="4" w:space="1" w:color="auto"/>
          <w:right w:val="single" w:sz="4" w:space="4" w:color="auto"/>
        </w:pBdr>
      </w:pPr>
      <w:r>
        <w:tab/>
        <w:t>-</w:t>
      </w:r>
      <w:r>
        <w:tab/>
        <w:t xml:space="preserve">The UE can report the N closest reference locations via the </w:t>
      </w:r>
      <w:proofErr w:type="spellStart"/>
      <w:r>
        <w:t>RRCReconfigurationComplete</w:t>
      </w:r>
      <w:proofErr w:type="spellEnd"/>
      <w:r>
        <w:t xml:space="preserve"> message.</w:t>
      </w:r>
    </w:p>
    <w:p w14:paraId="3AEF3A6F" w14:textId="77777777" w:rsidR="00B959E1" w:rsidRDefault="00B959E1" w:rsidP="00B959E1">
      <w:pPr>
        <w:pStyle w:val="Doc-text2"/>
        <w:pBdr>
          <w:top w:val="single" w:sz="4" w:space="1" w:color="auto"/>
          <w:left w:val="single" w:sz="4" w:space="4" w:color="auto"/>
          <w:bottom w:val="single" w:sz="4" w:space="1" w:color="auto"/>
          <w:right w:val="single" w:sz="4" w:space="4" w:color="auto"/>
        </w:pBdr>
      </w:pPr>
      <w:r>
        <w:tab/>
        <w:t>-</w:t>
      </w:r>
      <w:r>
        <w:tab/>
        <w:t>The network configures the relevant SMTC(s). The maximum number of configured SMTCs is according to legacy UE capability in terms of SMTC support (same as legacy).</w:t>
      </w:r>
    </w:p>
    <w:p w14:paraId="06A18EC4" w14:textId="77777777" w:rsidR="00B959E1" w:rsidRDefault="00B959E1" w:rsidP="00B959E1">
      <w:pPr>
        <w:pStyle w:val="Doc-text2"/>
        <w:pBdr>
          <w:top w:val="single" w:sz="4" w:space="1" w:color="auto"/>
          <w:left w:val="single" w:sz="4" w:space="4" w:color="auto"/>
          <w:bottom w:val="single" w:sz="4" w:space="1" w:color="auto"/>
          <w:right w:val="single" w:sz="4" w:space="4" w:color="auto"/>
        </w:pBdr>
      </w:pPr>
      <w:r>
        <w:tab/>
        <w:t>-</w:t>
      </w:r>
      <w:r>
        <w:tab/>
        <w:t>The UE provides an update on the set of the N closest reference locations, if changed, via UE assistance information. Upon receiving an update, the network reconfigures the relevant SMTC(s), if changed.</w:t>
      </w:r>
    </w:p>
    <w:p w14:paraId="7EA7FF8D" w14:textId="77777777" w:rsidR="00894340" w:rsidRDefault="00894340" w:rsidP="00BC4C81">
      <w:pPr>
        <w:pStyle w:val="B1"/>
        <w:ind w:left="0" w:firstLine="0"/>
      </w:pPr>
    </w:p>
    <w:p w14:paraId="52317F18" w14:textId="72F3CF19" w:rsidR="007064FB" w:rsidRDefault="00203086" w:rsidP="00BC4C81">
      <w:pPr>
        <w:pStyle w:val="B1"/>
        <w:ind w:left="0" w:firstLine="0"/>
      </w:pPr>
      <w:r>
        <w:t>In</w:t>
      </w:r>
      <w:r w:rsidR="00661AB9" w:rsidRPr="3FCBD0A6">
        <w:t xml:space="preserve"> this document, we</w:t>
      </w:r>
      <w:r w:rsidR="00EA3E78">
        <w:t xml:space="preserve"> discuss</w:t>
      </w:r>
      <w:r w:rsidR="00661AB9" w:rsidRPr="3FCBD0A6">
        <w:t xml:space="preserve"> </w:t>
      </w:r>
      <w:r w:rsidR="00CA2720">
        <w:t>remaining issues</w:t>
      </w:r>
      <w:r w:rsidR="00BD1CDB" w:rsidRPr="3FCBD0A6">
        <w:t>.</w:t>
      </w:r>
    </w:p>
    <w:p w14:paraId="513A3555" w14:textId="77777777" w:rsidR="00453B12" w:rsidRDefault="00453B12" w:rsidP="00453B12">
      <w:pPr>
        <w:pStyle w:val="Heading1"/>
        <w:numPr>
          <w:ilvl w:val="0"/>
          <w:numId w:val="6"/>
        </w:numPr>
        <w:pBdr>
          <w:top w:val="single" w:sz="12" w:space="2" w:color="auto"/>
        </w:pBdr>
        <w:tabs>
          <w:tab w:val="num" w:pos="720"/>
        </w:tabs>
        <w:ind w:left="720" w:hanging="720"/>
      </w:pPr>
      <w:r>
        <w:t xml:space="preserve">Discussion </w:t>
      </w:r>
    </w:p>
    <w:p w14:paraId="0EB63B33" w14:textId="204C4F6D" w:rsidR="005B704E" w:rsidRPr="00EE6ECF" w:rsidRDefault="005B704E" w:rsidP="007F0D6F">
      <w:pPr>
        <w:rPr>
          <w:b/>
          <w:bCs/>
          <w:u w:val="single"/>
        </w:rPr>
      </w:pPr>
      <w:r w:rsidRPr="00EE6ECF">
        <w:rPr>
          <w:b/>
          <w:bCs/>
          <w:u w:val="single"/>
        </w:rPr>
        <w:t>Multiple SMTCs</w:t>
      </w:r>
      <w:r w:rsidR="009F2096">
        <w:rPr>
          <w:b/>
          <w:bCs/>
          <w:u w:val="single"/>
        </w:rPr>
        <w:t xml:space="preserve"> </w:t>
      </w:r>
    </w:p>
    <w:p w14:paraId="214F0873" w14:textId="070B82C3" w:rsidR="008F4F5A" w:rsidRDefault="00056E47" w:rsidP="003D0AD5">
      <w:r>
        <w:t xml:space="preserve">In the last meeting, </w:t>
      </w:r>
      <w:r w:rsidR="008F4F5A">
        <w:t>RAN2 already finalized the solution for location-based SMTC enhancements. In IDLE mode, it is up to UE implementation how to</w:t>
      </w:r>
      <w:r w:rsidR="00231527">
        <w:t xml:space="preserve"> </w:t>
      </w:r>
      <w:r w:rsidR="008F4F5A">
        <w:t>select the SMTCs based on</w:t>
      </w:r>
      <w:r w:rsidR="00231527">
        <w:t xml:space="preserve"> location information and</w:t>
      </w:r>
      <w:r w:rsidR="008F4F5A">
        <w:t xml:space="preserve"> it</w:t>
      </w:r>
      <w:r w:rsidR="00231527">
        <w:t>s</w:t>
      </w:r>
      <w:r w:rsidR="008F4F5A">
        <w:t xml:space="preserve"> capability</w:t>
      </w:r>
      <w:r w:rsidR="00231527">
        <w:t>. In connected mode, UE provides the</w:t>
      </w:r>
      <w:r w:rsidR="002B4AD9">
        <w:t xml:space="preserve"> closest reference location and network can configure the correct SMTCs. In case UE moves or the SMTC needs to be updated, the UE can trigger the </w:t>
      </w:r>
      <w:r w:rsidR="00EB149A">
        <w:t>update of closest reference location information to the network.</w:t>
      </w:r>
    </w:p>
    <w:p w14:paraId="20E05295" w14:textId="7C287180" w:rsidR="000F5B80" w:rsidRDefault="008960B6" w:rsidP="003707A2">
      <w:pPr>
        <w:keepNext/>
        <w:jc w:val="center"/>
      </w:pPr>
      <w:r>
        <w:object w:dxaOrig="22772" w:dyaOrig="3602" w14:anchorId="0F2B9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73.75pt" o:ole="">
            <v:imagedata r:id="rId11" o:title=""/>
          </v:shape>
          <o:OLEObject Type="Embed" ProgID="Visio.Drawing.15" ShapeID="_x0000_i1025" DrawAspect="Content" ObjectID="_1820934546" r:id="rId12"/>
        </w:object>
      </w:r>
    </w:p>
    <w:p w14:paraId="347D2D2F" w14:textId="38ADCCE9" w:rsidR="003707A2" w:rsidRDefault="003707A2" w:rsidP="003707A2">
      <w:pPr>
        <w:pStyle w:val="Caption"/>
        <w:jc w:val="center"/>
      </w:pPr>
      <w:r>
        <w:t xml:space="preserve">Figure </w:t>
      </w:r>
      <w:r>
        <w:fldChar w:fldCharType="begin"/>
      </w:r>
      <w:r>
        <w:instrText xml:space="preserve"> SEQ Figure \* ARABIC </w:instrText>
      </w:r>
      <w:r>
        <w:fldChar w:fldCharType="separate"/>
      </w:r>
      <w:r w:rsidRPr="20012BC0">
        <w:rPr>
          <w:noProof/>
        </w:rPr>
        <w:t>1</w:t>
      </w:r>
      <w:r>
        <w:fldChar w:fldCharType="end"/>
      </w:r>
      <w:r>
        <w:t xml:space="preserve"> An Example of beam hopping </w:t>
      </w:r>
      <w:r w:rsidR="00C63C8B">
        <w:t>with extended</w:t>
      </w:r>
      <w:r>
        <w:t xml:space="preserve"> multiple SMTC</w:t>
      </w:r>
      <w:r w:rsidR="00C63C8B">
        <w:t xml:space="preserve"> offsets (i.e., 6 offsets)</w:t>
      </w:r>
      <w:r w:rsidR="009F2096">
        <w:t xml:space="preserve"> and two periodicities</w:t>
      </w:r>
    </w:p>
    <w:p w14:paraId="2A7839B9" w14:textId="6C90AD65" w:rsidR="07CF2112" w:rsidRDefault="07CF2112">
      <w:r>
        <w:t xml:space="preserve">The location-based SMTC can also be applicable to moving cell scenario. In Rel-18, we introduced the concept of moving reference location which can be time </w:t>
      </w:r>
      <w:r w:rsidR="00A86C67">
        <w:t>variant,</w:t>
      </w:r>
      <w:r>
        <w:t xml:space="preserve"> and UE can predict the future reference location.</w:t>
      </w:r>
      <w:r w:rsidR="0C6219CA">
        <w:t xml:space="preserve"> Since the reference location in this case is for one time use to perform </w:t>
      </w:r>
      <w:r w:rsidR="00A86C67">
        <w:t>down selection</w:t>
      </w:r>
      <w:r w:rsidR="0C6219CA">
        <w:t xml:space="preserve"> of the 4 SMTCs out of 6 SMTCs, the use of reference location at time t is sufficient </w:t>
      </w:r>
      <w:r w:rsidR="29CD7B9B">
        <w:t xml:space="preserve">and UE probably would not need to track the reference location. Therefore, </w:t>
      </w:r>
      <w:r w:rsidR="37D5152A">
        <w:t>network</w:t>
      </w:r>
      <w:r w:rsidR="29CD7B9B">
        <w:t xml:space="preserve"> would be able to update the reference location when ephemeris and epoch time </w:t>
      </w:r>
      <w:r w:rsidR="004E7D96">
        <w:t>are updated</w:t>
      </w:r>
      <w:r w:rsidR="29CD7B9B">
        <w:t xml:space="preserve"> without notifying UE.</w:t>
      </w:r>
    </w:p>
    <w:p w14:paraId="5F5609C7" w14:textId="01C61963" w:rsidR="5CC05963" w:rsidRDefault="5CC05963">
      <w:r>
        <w:rPr>
          <w:noProof/>
        </w:rPr>
        <w:drawing>
          <wp:inline distT="0" distB="0" distL="0" distR="0" wp14:anchorId="52600B1F" wp14:editId="527B003E">
            <wp:extent cx="5924550" cy="504825"/>
            <wp:effectExtent l="0" t="0" r="0" b="0"/>
            <wp:docPr id="17523994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399458" name=""/>
                    <pic:cNvPicPr/>
                  </pic:nvPicPr>
                  <pic:blipFill>
                    <a:blip r:embed="rId13">
                      <a:extLst>
                        <a:ext uri="{28A0092B-C50C-407E-A947-70E740481C1C}">
                          <a14:useLocalDpi xmlns:a14="http://schemas.microsoft.com/office/drawing/2010/main" val="0"/>
                        </a:ext>
                      </a:extLst>
                    </a:blip>
                    <a:stretch>
                      <a:fillRect/>
                    </a:stretch>
                  </pic:blipFill>
                  <pic:spPr>
                    <a:xfrm>
                      <a:off x="0" y="0"/>
                      <a:ext cx="5924550" cy="504825"/>
                    </a:xfrm>
                    <a:prstGeom prst="rect">
                      <a:avLst/>
                    </a:prstGeom>
                  </pic:spPr>
                </pic:pic>
              </a:graphicData>
            </a:graphic>
          </wp:inline>
        </w:drawing>
      </w:r>
    </w:p>
    <w:p w14:paraId="7DE580D5" w14:textId="24751E1C" w:rsidR="5CC05963" w:rsidRDefault="5CC05963" w:rsidP="3A5B44EF">
      <w:pPr>
        <w:pStyle w:val="Proposal"/>
        <w:rPr>
          <w:rFonts w:eastAsia="Times New Roman"/>
        </w:rPr>
      </w:pPr>
      <w:bookmarkStart w:id="0" w:name="_Toc205924363"/>
      <w:bookmarkStart w:id="1" w:name="_Toc206056530"/>
      <w:bookmarkStart w:id="2" w:name="_Toc206056704"/>
      <w:bookmarkStart w:id="3" w:name="_Toc206071480"/>
      <w:bookmarkStart w:id="4" w:name="_Toc206093427"/>
      <w:bookmarkStart w:id="5" w:name="_Toc206102349"/>
      <w:bookmarkStart w:id="6" w:name="_Toc210118435"/>
      <w:bookmarkStart w:id="7" w:name="_Toc210119827"/>
      <w:bookmarkStart w:id="8" w:name="_Toc210294235"/>
      <w:bookmarkStart w:id="9" w:name="_Toc210318179"/>
      <w:r w:rsidRPr="3A5B44EF">
        <w:t>Location-based SMTC enhancement is also supported in moving cell scenario. The existing</w:t>
      </w:r>
      <w:r w:rsidR="03EDBF75" w:rsidRPr="3A5B44EF">
        <w:t xml:space="preserve"> </w:t>
      </w:r>
      <w:proofErr w:type="spellStart"/>
      <w:r w:rsidR="03EDBF75" w:rsidRPr="008960B6">
        <w:rPr>
          <w:i/>
          <w:iCs/>
        </w:rPr>
        <w:t>m</w:t>
      </w:r>
      <w:r w:rsidR="03EDBF75" w:rsidRPr="008960B6">
        <w:rPr>
          <w:rFonts w:eastAsia="Times New Roman"/>
          <w:i/>
          <w:iCs/>
        </w:rPr>
        <w:t>ovingReferenceLocation</w:t>
      </w:r>
      <w:proofErr w:type="spellEnd"/>
      <w:r w:rsidR="03EDBF75" w:rsidRPr="3A5B44EF">
        <w:rPr>
          <w:rFonts w:eastAsia="Times New Roman"/>
        </w:rPr>
        <w:t xml:space="preserve"> is reused for this purpose</w:t>
      </w:r>
      <w:r w:rsidR="68D2C62E" w:rsidRPr="3A5B44EF">
        <w:rPr>
          <w:rFonts w:eastAsia="Times New Roman"/>
        </w:rPr>
        <w:t xml:space="preserve"> (i.e., network can update the </w:t>
      </w:r>
      <w:proofErr w:type="spellStart"/>
      <w:r w:rsidR="68D2C62E" w:rsidRPr="008960B6">
        <w:rPr>
          <w:i/>
          <w:iCs/>
        </w:rPr>
        <w:t>m</w:t>
      </w:r>
      <w:r w:rsidR="68D2C62E" w:rsidRPr="008960B6">
        <w:rPr>
          <w:rFonts w:eastAsia="Times New Roman"/>
          <w:i/>
          <w:iCs/>
        </w:rPr>
        <w:t>ovingReferenceLocation</w:t>
      </w:r>
      <w:proofErr w:type="spellEnd"/>
      <w:r w:rsidR="68D2C62E" w:rsidRPr="3A5B44EF">
        <w:rPr>
          <w:rFonts w:eastAsia="Times New Roman"/>
        </w:rPr>
        <w:t xml:space="preserve"> with epoch time without notifying UE)</w:t>
      </w:r>
      <w:r w:rsidR="03EDBF75" w:rsidRPr="3A5B44EF">
        <w:rPr>
          <w:rFonts w:eastAsia="Times New Roman"/>
        </w:rPr>
        <w:t>.</w:t>
      </w:r>
      <w:bookmarkEnd w:id="0"/>
      <w:bookmarkEnd w:id="1"/>
      <w:bookmarkEnd w:id="2"/>
      <w:bookmarkEnd w:id="3"/>
      <w:bookmarkEnd w:id="4"/>
      <w:bookmarkEnd w:id="5"/>
      <w:bookmarkEnd w:id="6"/>
      <w:bookmarkEnd w:id="7"/>
      <w:bookmarkEnd w:id="8"/>
      <w:bookmarkEnd w:id="9"/>
    </w:p>
    <w:p w14:paraId="72176770" w14:textId="500213F9" w:rsidR="009B28ED" w:rsidRDefault="009B28ED" w:rsidP="0084702E">
      <w:r>
        <w:t>Since RAN2 already adopted the location-based SMTC</w:t>
      </w:r>
      <w:r w:rsidR="00560756">
        <w:t xml:space="preserve">, we </w:t>
      </w:r>
      <w:r w:rsidR="00D8260A">
        <w:t xml:space="preserve">see no motivation to </w:t>
      </w:r>
      <w:r w:rsidR="00560756">
        <w:t>introduce another solution to solve the same problem</w:t>
      </w:r>
      <w:r w:rsidR="559498C3">
        <w:t xml:space="preserve"> in Rel-19</w:t>
      </w:r>
      <w:r w:rsidR="00560756">
        <w:t>.</w:t>
      </w:r>
      <w:r w:rsidR="00DB5B2B">
        <w:t xml:space="preserve"> This solution works for both IDLE mode measurements (</w:t>
      </w:r>
      <w:r w:rsidR="00D8588A">
        <w:t>reference locations provided in SIB</w:t>
      </w:r>
      <w:r w:rsidR="00D141B1">
        <w:t xml:space="preserve"> for each SMTC</w:t>
      </w:r>
      <w:r w:rsidR="00D8588A">
        <w:t>) and connected mode measurements (reference locations provided in MO</w:t>
      </w:r>
      <w:r w:rsidR="00D141B1">
        <w:t xml:space="preserve"> for each SMTC</w:t>
      </w:r>
      <w:r w:rsidR="00D8588A">
        <w:t>).</w:t>
      </w:r>
      <w:r w:rsidR="6A2EEE52">
        <w:t xml:space="preserve"> In future, for example, for the case of GNSS-less operation in Rel-20, it is worth exploring other solution.</w:t>
      </w:r>
    </w:p>
    <w:p w14:paraId="25A8370C" w14:textId="40EFC113" w:rsidR="00C41007" w:rsidRDefault="0068471A" w:rsidP="0081143D">
      <w:pPr>
        <w:pStyle w:val="Proposal"/>
      </w:pPr>
      <w:bookmarkStart w:id="10" w:name="_Toc197434413"/>
      <w:bookmarkStart w:id="11" w:name="_Toc197435099"/>
      <w:bookmarkStart w:id="12" w:name="_Toc197439005"/>
      <w:bookmarkStart w:id="13" w:name="_Toc197439487"/>
      <w:bookmarkStart w:id="14" w:name="_Toc197439560"/>
      <w:bookmarkStart w:id="15" w:name="_Toc197439595"/>
      <w:bookmarkStart w:id="16" w:name="_Toc197444488"/>
      <w:bookmarkStart w:id="17" w:name="_Toc197638755"/>
      <w:bookmarkStart w:id="18" w:name="_Toc205471927"/>
      <w:bookmarkStart w:id="19" w:name="_Toc205472141"/>
      <w:bookmarkStart w:id="20" w:name="_Toc205924364"/>
      <w:bookmarkStart w:id="21" w:name="_Toc206056531"/>
      <w:bookmarkStart w:id="22" w:name="_Toc206056705"/>
      <w:bookmarkStart w:id="23" w:name="_Toc206071481"/>
      <w:bookmarkStart w:id="24" w:name="_Toc206093428"/>
      <w:bookmarkStart w:id="25" w:name="_Toc206102350"/>
      <w:bookmarkStart w:id="26" w:name="_Toc210118436"/>
      <w:bookmarkStart w:id="27" w:name="_Toc210119828"/>
      <w:bookmarkStart w:id="28" w:name="_Toc210294236"/>
      <w:bookmarkStart w:id="29" w:name="_Toc210318180"/>
      <w:r>
        <w:t>Location-based SMTC is sufficient to solve issue of selecting</w:t>
      </w:r>
      <w:r w:rsidR="00BA5755">
        <w:t xml:space="preserve"> four SMTCs</w:t>
      </w:r>
      <w:r w:rsidR="00CB498D">
        <w:t xml:space="preserve"> both in connected mode and idle mode measurements</w:t>
      </w:r>
      <w:r w:rsidR="00BA5755">
        <w:t xml:space="preserve"> and </w:t>
      </w:r>
      <w:r w:rsidR="004379BE">
        <w:t>there is no need to intr</w:t>
      </w:r>
      <w:r w:rsidR="00670DC6">
        <w:t>oduce second solution</w:t>
      </w:r>
      <w:r w:rsidR="00BA5755">
        <w:t xml:space="preserve"> to solve the same issue</w:t>
      </w:r>
      <w:r w:rsidR="0BA617A5">
        <w:t xml:space="preserve"> in Rel-19</w:t>
      </w:r>
      <w:r w:rsidR="0081143D">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CC06168" w14:textId="4DF905AC" w:rsidR="002B6450" w:rsidRPr="006C5B91" w:rsidRDefault="00DE5545" w:rsidP="009908C0">
      <w:pPr>
        <w:rPr>
          <w:b/>
          <w:bCs/>
          <w:u w:val="single"/>
        </w:rPr>
      </w:pPr>
      <w:r w:rsidRPr="006C5B91">
        <w:rPr>
          <w:b/>
          <w:bCs/>
          <w:u w:val="single"/>
        </w:rPr>
        <w:t>For inter-frequency measurements:</w:t>
      </w:r>
    </w:p>
    <w:p w14:paraId="03A3A5F6" w14:textId="0111D025" w:rsidR="00DE5545" w:rsidRDefault="00482ABA" w:rsidP="36A7FE78">
      <w:r>
        <w:t>In our view, the discussion of beam hopping</w:t>
      </w:r>
      <w:r w:rsidR="00381150">
        <w:t xml:space="preserve"> is limited to intra-frequency measurements scenarios, i.e., for energy saving, the satellite hops the beams</w:t>
      </w:r>
      <w:r w:rsidR="00CB4140">
        <w:t xml:space="preserve"> but they all </w:t>
      </w:r>
      <w:r w:rsidR="00966C29">
        <w:t xml:space="preserve">can </w:t>
      </w:r>
      <w:r w:rsidR="00CB4140">
        <w:t>operate in the same frequency.</w:t>
      </w:r>
      <w:r w:rsidR="00821538">
        <w:t xml:space="preserve"> </w:t>
      </w:r>
      <w:r w:rsidR="3387C900">
        <w:t>M</w:t>
      </w:r>
      <w:r w:rsidR="00821538">
        <w:t xml:space="preserve">ulti-frequency beam hopping is </w:t>
      </w:r>
      <w:r w:rsidR="00B676DE">
        <w:t>an added complexity due to involvement of measurement gaps as no more than 2 concurrent MGs can be configured</w:t>
      </w:r>
      <w:r w:rsidR="00972D4D">
        <w:t xml:space="preserve"> per UE</w:t>
      </w:r>
      <w:r w:rsidR="00B676DE">
        <w:t xml:space="preserve"> given the UE supports </w:t>
      </w:r>
      <w:r w:rsidR="00972D4D" w:rsidRPr="36A7FE78">
        <w:rPr>
          <w:i/>
          <w:iCs/>
        </w:rPr>
        <w:t>parallelMeasurementGap-r17</w:t>
      </w:r>
      <w:r w:rsidR="731B6E50" w:rsidRPr="36A7FE78">
        <w:rPr>
          <w:i/>
          <w:iCs/>
        </w:rPr>
        <w:t xml:space="preserve"> </w:t>
      </w:r>
      <w:r w:rsidR="731B6E50" w:rsidRPr="00FC5A90">
        <w:t>and network may want efficient configuration choice.</w:t>
      </w:r>
    </w:p>
    <w:p w14:paraId="0E335F2D" w14:textId="74B65664" w:rsidR="00A45ACE" w:rsidRDefault="00CF21B9" w:rsidP="009908C0">
      <w:r>
        <w:t>With such</w:t>
      </w:r>
      <w:r w:rsidR="00912654">
        <w:t xml:space="preserve"> consideration, RAN4 impact should also be investigated</w:t>
      </w:r>
      <w:r w:rsidR="00EB6E06">
        <w:t xml:space="preserve"> as in the LS</w:t>
      </w:r>
      <w:r w:rsidR="00E33834">
        <w:t xml:space="preserve"> [1]</w:t>
      </w:r>
      <w:r w:rsidR="00EB6E06">
        <w:t>, RAN2 only</w:t>
      </w:r>
      <w:r w:rsidR="000D2AB5">
        <w:t xml:space="preserve"> asked question for the intra-frequency </w:t>
      </w:r>
      <w:proofErr w:type="spellStart"/>
      <w:r w:rsidR="000D2AB5">
        <w:t>neighbor</w:t>
      </w:r>
      <w:proofErr w:type="spellEnd"/>
      <w:r w:rsidR="000D2AB5">
        <w:t xml:space="preserve"> cells.</w:t>
      </w:r>
    </w:p>
    <w:p w14:paraId="4AC859D0" w14:textId="7829A3A1" w:rsidR="00A45ACE" w:rsidRDefault="00646E66" w:rsidP="00646E66">
      <w:pPr>
        <w:jc w:val="center"/>
      </w:pPr>
      <w:r w:rsidRPr="00646E66">
        <w:rPr>
          <w:noProof/>
        </w:rPr>
        <w:drawing>
          <wp:inline distT="0" distB="0" distL="0" distR="0" wp14:anchorId="70773D50" wp14:editId="18AFE202">
            <wp:extent cx="4285615" cy="1384590"/>
            <wp:effectExtent l="0" t="0" r="635" b="6350"/>
            <wp:docPr id="1285185835" name="Picture 1" descr="A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185835" name="Picture 1" descr="A text on a white background&#10;&#10;AI-generated content may be incorrect."/>
                    <pic:cNvPicPr/>
                  </pic:nvPicPr>
                  <pic:blipFill>
                    <a:blip r:embed="rId14"/>
                    <a:stretch>
                      <a:fillRect/>
                    </a:stretch>
                  </pic:blipFill>
                  <pic:spPr>
                    <a:xfrm>
                      <a:off x="0" y="0"/>
                      <a:ext cx="4295878" cy="1387906"/>
                    </a:xfrm>
                    <a:prstGeom prst="rect">
                      <a:avLst/>
                    </a:prstGeom>
                  </pic:spPr>
                </pic:pic>
              </a:graphicData>
            </a:graphic>
          </wp:inline>
        </w:drawing>
      </w:r>
    </w:p>
    <w:p w14:paraId="123D8BA5" w14:textId="5E7A98E4" w:rsidR="00132315" w:rsidRDefault="00646E66" w:rsidP="25D1F7B5">
      <w:r>
        <w:t>Therefore, RAN2 first need to</w:t>
      </w:r>
      <w:r w:rsidR="00A72EF8">
        <w:t xml:space="preserve"> decide whether SMTC</w:t>
      </w:r>
      <w:r w:rsidR="23B48F97">
        <w:t xml:space="preserve"> enhancement</w:t>
      </w:r>
      <w:r w:rsidR="000F43CD">
        <w:t xml:space="preserve"> is applicable for</w:t>
      </w:r>
      <w:r w:rsidR="00A72EF8">
        <w:t xml:space="preserve"> inter-frequency</w:t>
      </w:r>
      <w:r w:rsidR="000F43CD">
        <w:t xml:space="preserve"> measurements. </w:t>
      </w:r>
      <w:r w:rsidR="00132315">
        <w:t>If this is applicable for inter-frequency measurements,</w:t>
      </w:r>
      <w:r w:rsidR="00273F0F">
        <w:t xml:space="preserve"> then for</w:t>
      </w:r>
      <w:r w:rsidR="008908DD">
        <w:t xml:space="preserve"> IDLE mode case, it should be left to UE</w:t>
      </w:r>
      <w:r w:rsidR="00715D16">
        <w:t xml:space="preserve"> how it selects 4 SMTCs and</w:t>
      </w:r>
      <w:r w:rsidR="13974C17">
        <w:t xml:space="preserve"> use</w:t>
      </w:r>
      <w:r w:rsidR="00715D16">
        <w:t xml:space="preserve"> 2 periodicities. However, for connected mode,</w:t>
      </w:r>
      <w:r w:rsidR="00083B27">
        <w:t xml:space="preserve"> there should be no change on the SMTC configuration as </w:t>
      </w:r>
      <w:r w:rsidR="00596543">
        <w:t>network still configures</w:t>
      </w:r>
      <w:r w:rsidR="00A80D75">
        <w:t xml:space="preserve"> up to 4 SMTCs as in Rel-17</w:t>
      </w:r>
      <w:r w:rsidR="00C13651">
        <w:t xml:space="preserve"> </w:t>
      </w:r>
      <w:proofErr w:type="gramStart"/>
      <w:r w:rsidR="00C13651">
        <w:t>taking into account</w:t>
      </w:r>
      <w:proofErr w:type="gramEnd"/>
      <w:r w:rsidR="00C13651">
        <w:t xml:space="preserve"> assistance information from UE. However, for the configuration of multiple periodicities for inter-frequency</w:t>
      </w:r>
      <w:r w:rsidR="006F7821">
        <w:t xml:space="preserve"> measurements, a new UE capability should be introduced</w:t>
      </w:r>
      <w:r w:rsidR="69BEA31B">
        <w:t xml:space="preserve"> </w:t>
      </w:r>
      <w:r w:rsidR="00C71B17">
        <w:t>due to involvement of measurement gap</w:t>
      </w:r>
      <w:r w:rsidR="00371CCD">
        <w:t>(s)</w:t>
      </w:r>
      <w:r w:rsidR="006F7821">
        <w:t>.</w:t>
      </w:r>
      <w:r w:rsidR="005C1B2D">
        <w:t xml:space="preserve"> Since configuration depends on UE’s assistance information, we think no further </w:t>
      </w:r>
      <w:r w:rsidR="00371CCD">
        <w:t>enhancement</w:t>
      </w:r>
      <w:r w:rsidR="005C1B2D">
        <w:t xml:space="preserve"> is need</w:t>
      </w:r>
      <w:r w:rsidR="00993ED8">
        <w:t>ed for measurement gap</w:t>
      </w:r>
      <w:r w:rsidR="7385A75D">
        <w:t xml:space="preserve"> itself</w:t>
      </w:r>
      <w:r w:rsidR="00993ED8">
        <w:t>.</w:t>
      </w:r>
    </w:p>
    <w:p w14:paraId="45F99927" w14:textId="09484175" w:rsidR="00175340" w:rsidRDefault="00175340" w:rsidP="00B82469">
      <w:pPr>
        <w:pStyle w:val="Proposal"/>
      </w:pPr>
      <w:bookmarkStart w:id="30" w:name="_Toc205471931"/>
      <w:bookmarkStart w:id="31" w:name="_Toc205472145"/>
      <w:bookmarkStart w:id="32" w:name="_Toc205924368"/>
      <w:bookmarkStart w:id="33" w:name="_Toc206056535"/>
      <w:bookmarkStart w:id="34" w:name="_Toc206056709"/>
      <w:bookmarkStart w:id="35" w:name="_Toc206071485"/>
      <w:bookmarkStart w:id="36" w:name="_Toc206093432"/>
      <w:bookmarkStart w:id="37" w:name="_Toc206102354"/>
      <w:bookmarkStart w:id="38" w:name="_Toc210118437"/>
      <w:bookmarkStart w:id="39" w:name="_Toc210119829"/>
      <w:bookmarkStart w:id="40" w:name="_Toc210294237"/>
      <w:bookmarkStart w:id="41" w:name="_Toc210318181"/>
      <w:r>
        <w:lastRenderedPageBreak/>
        <w:t>RAN2 first need</w:t>
      </w:r>
      <w:r w:rsidR="005E2130">
        <w:t>s</w:t>
      </w:r>
      <w:r>
        <w:t xml:space="preserve"> to decide whether more than 4 SMTCs configuration is applicable for inter-frequency measurements.</w:t>
      </w:r>
      <w:bookmarkEnd w:id="30"/>
      <w:bookmarkEnd w:id="31"/>
      <w:bookmarkEnd w:id="32"/>
      <w:bookmarkEnd w:id="33"/>
      <w:bookmarkEnd w:id="34"/>
      <w:bookmarkEnd w:id="35"/>
      <w:bookmarkEnd w:id="36"/>
      <w:bookmarkEnd w:id="37"/>
      <w:bookmarkEnd w:id="38"/>
      <w:bookmarkEnd w:id="39"/>
      <w:bookmarkEnd w:id="40"/>
      <w:bookmarkEnd w:id="41"/>
    </w:p>
    <w:p w14:paraId="39E143C5" w14:textId="283A8751" w:rsidR="009C415F" w:rsidRDefault="009C415F" w:rsidP="009C415F">
      <w:pPr>
        <w:pStyle w:val="Proposal"/>
      </w:pPr>
      <w:bookmarkStart w:id="42" w:name="_Toc210119830"/>
      <w:bookmarkStart w:id="43" w:name="_Toc210294238"/>
      <w:bookmarkStart w:id="44" w:name="_Toc205471932"/>
      <w:bookmarkStart w:id="45" w:name="_Toc205472146"/>
      <w:bookmarkStart w:id="46" w:name="_Toc205924369"/>
      <w:bookmarkStart w:id="47" w:name="_Toc206056536"/>
      <w:bookmarkStart w:id="48" w:name="_Toc206056710"/>
      <w:bookmarkStart w:id="49" w:name="_Toc206071486"/>
      <w:bookmarkStart w:id="50" w:name="_Toc206093433"/>
      <w:bookmarkStart w:id="51" w:name="_Toc206102355"/>
      <w:bookmarkStart w:id="52" w:name="_Toc210118438"/>
      <w:bookmarkStart w:id="53" w:name="_Toc210318182"/>
      <w:r>
        <w:t>If SMTC enhancement is applicable for inter-frequency measurements, it is up to UE how to select SMTC based on location</w:t>
      </w:r>
      <w:r w:rsidR="76C42AAC">
        <w:t xml:space="preserve"> and use multiple periodicities</w:t>
      </w:r>
      <w:r>
        <w:t xml:space="preserve"> for IDLE mode inter-frequency measurements.</w:t>
      </w:r>
      <w:bookmarkEnd w:id="42"/>
      <w:bookmarkEnd w:id="43"/>
      <w:bookmarkEnd w:id="53"/>
    </w:p>
    <w:p w14:paraId="775DF61F" w14:textId="3C86FB5E" w:rsidR="00175340" w:rsidRDefault="00175340" w:rsidP="00B82469">
      <w:pPr>
        <w:pStyle w:val="Proposal"/>
      </w:pPr>
      <w:bookmarkStart w:id="54" w:name="_Toc210119831"/>
      <w:bookmarkStart w:id="55" w:name="_Toc210294239"/>
      <w:bookmarkStart w:id="56" w:name="_Toc210318183"/>
      <w:r>
        <w:t xml:space="preserve">If </w:t>
      </w:r>
      <w:r w:rsidR="005023D5">
        <w:t>SMTC enhancement is applicable for inter-frequency measurements</w:t>
      </w:r>
      <w:r>
        <w:t xml:space="preserve">, a new UE capability to support </w:t>
      </w:r>
      <w:r w:rsidR="00993ED8">
        <w:t>two periodicities</w:t>
      </w:r>
      <w:r>
        <w:t xml:space="preserve"> for</w:t>
      </w:r>
      <w:r w:rsidR="00803D66">
        <w:t xml:space="preserve"> connected mode</w:t>
      </w:r>
      <w:r>
        <w:t xml:space="preserve"> inter-frequency measurements is introduced and </w:t>
      </w:r>
      <w:r w:rsidR="00D60A5C">
        <w:t xml:space="preserve">an LS is sent to </w:t>
      </w:r>
      <w:r>
        <w:t>RAN4 for any issue/concern.</w:t>
      </w:r>
      <w:bookmarkEnd w:id="44"/>
      <w:bookmarkEnd w:id="45"/>
      <w:bookmarkEnd w:id="46"/>
      <w:bookmarkEnd w:id="47"/>
      <w:bookmarkEnd w:id="48"/>
      <w:bookmarkEnd w:id="49"/>
      <w:bookmarkEnd w:id="50"/>
      <w:bookmarkEnd w:id="51"/>
      <w:bookmarkEnd w:id="52"/>
      <w:bookmarkEnd w:id="54"/>
      <w:bookmarkEnd w:id="55"/>
      <w:bookmarkEnd w:id="56"/>
    </w:p>
    <w:p w14:paraId="67C82771" w14:textId="0808DD1D" w:rsidR="004C4020" w:rsidRPr="008370EA" w:rsidRDefault="004C4020" w:rsidP="36A7FE78">
      <w:r w:rsidRPr="008370EA">
        <w:t>In our view,</w:t>
      </w:r>
      <w:r w:rsidR="00374B85" w:rsidRPr="008370EA">
        <w:t xml:space="preserve"> the original intention of limiting to 4 SMTCs is to limit the number of satellites a UE can measure simultaneously. However, </w:t>
      </w:r>
      <w:r w:rsidR="008370EA">
        <w:t xml:space="preserve">the SIB19 was extended without </w:t>
      </w:r>
      <w:proofErr w:type="gramStart"/>
      <w:r w:rsidR="008370EA">
        <w:t>taking into account</w:t>
      </w:r>
      <w:proofErr w:type="gramEnd"/>
      <w:r w:rsidR="008370EA">
        <w:t xml:space="preserve"> </w:t>
      </w:r>
      <w:r w:rsidR="003B3559">
        <w:t xml:space="preserve">this. Now with the beam hopping enhancements, it is </w:t>
      </w:r>
      <w:r w:rsidR="0055182E">
        <w:t>not clear</w:t>
      </w:r>
      <w:r w:rsidR="002A6DAF">
        <w:t xml:space="preserve"> whether 4 SMTCs is for the given single satellite</w:t>
      </w:r>
      <w:r w:rsidR="007446EF">
        <w:t xml:space="preserve"> beams or more than 4 satellites’ beams.</w:t>
      </w:r>
      <w:r w:rsidR="00F329A6">
        <w:t xml:space="preserve"> We think it should be clarified that </w:t>
      </w:r>
      <w:r w:rsidR="001E7D81">
        <w:t>t</w:t>
      </w:r>
      <w:r w:rsidR="001E7D81" w:rsidRPr="001E7D81">
        <w:t>otal number of satellites across intra and inter-frequency measurements at a given time instance does not exceed 4.</w:t>
      </w:r>
    </w:p>
    <w:p w14:paraId="3F95EA78" w14:textId="1403914A" w:rsidR="004C4020" w:rsidRDefault="001E7D81" w:rsidP="001E7D81">
      <w:pPr>
        <w:pStyle w:val="Proposal"/>
      </w:pPr>
      <w:bookmarkStart w:id="57" w:name="_Toc210118439"/>
      <w:bookmarkStart w:id="58" w:name="_Toc210119832"/>
      <w:bookmarkStart w:id="59" w:name="_Toc210294240"/>
      <w:bookmarkStart w:id="60" w:name="_Toc210318184"/>
      <w:r w:rsidRPr="001E7D81">
        <w:t>Total number of satellites across intra and inter-frequency measurements at a given time instance does not exceed 4.</w:t>
      </w:r>
      <w:bookmarkEnd w:id="57"/>
      <w:bookmarkEnd w:id="58"/>
      <w:bookmarkEnd w:id="59"/>
      <w:bookmarkEnd w:id="60"/>
    </w:p>
    <w:p w14:paraId="54150FC9" w14:textId="5DB43CAB" w:rsidR="005D5E61" w:rsidRPr="003D26F9" w:rsidRDefault="005D5E61" w:rsidP="00CD7F94">
      <w:pPr>
        <w:pStyle w:val="Proposal"/>
        <w:numPr>
          <w:ilvl w:val="0"/>
          <w:numId w:val="0"/>
        </w:numPr>
      </w:pPr>
    </w:p>
    <w:p w14:paraId="0FA47502" w14:textId="77777777" w:rsidR="00453B12" w:rsidRDefault="00453B12" w:rsidP="00453B12">
      <w:pPr>
        <w:pStyle w:val="Heading1"/>
        <w:numPr>
          <w:ilvl w:val="0"/>
          <w:numId w:val="6"/>
        </w:numPr>
        <w:pBdr>
          <w:top w:val="single" w:sz="12" w:space="2" w:color="auto"/>
        </w:pBdr>
        <w:tabs>
          <w:tab w:val="num" w:pos="720"/>
        </w:tabs>
        <w:ind w:left="720" w:hanging="720"/>
      </w:pPr>
      <w:r>
        <w:t>Conclusion</w:t>
      </w:r>
    </w:p>
    <w:p w14:paraId="33297F68" w14:textId="77777777" w:rsidR="00453B12" w:rsidRDefault="00453B12" w:rsidP="00453B12">
      <w:r>
        <w:t>Following proposals are made.</w:t>
      </w:r>
    </w:p>
    <w:p w14:paraId="736D19E7" w14:textId="77777777" w:rsidR="001C5EBD" w:rsidRDefault="00A81919">
      <w:pPr>
        <w:pStyle w:val="TOC1"/>
        <w:tabs>
          <w:tab w:val="left" w:pos="1200"/>
        </w:tabs>
        <w:rPr>
          <w:rFonts w:asciiTheme="minorHAnsi" w:eastAsiaTheme="minorEastAsia" w:hAnsiTheme="minorHAnsi" w:cstheme="minorBidi"/>
          <w:kern w:val="2"/>
          <w:sz w:val="24"/>
          <w:szCs w:val="24"/>
          <w:lang w:val="en-US"/>
          <w14:ligatures w14:val="standardContextual"/>
        </w:rPr>
      </w:pPr>
      <w:r>
        <w:fldChar w:fldCharType="begin"/>
      </w:r>
      <w:r>
        <w:instrText xml:space="preserve"> TOC \n \t "Proposal,1,Observation,1" </w:instrText>
      </w:r>
      <w:r>
        <w:fldChar w:fldCharType="separate"/>
      </w:r>
      <w:r w:rsidR="001C5EBD" w:rsidRPr="004865E9">
        <w:rPr>
          <w:rFonts w:eastAsia="Times New Roman"/>
        </w:rPr>
        <w:t>Proposal 1</w:t>
      </w:r>
      <w:r w:rsidR="001C5EBD">
        <w:rPr>
          <w:rFonts w:asciiTheme="minorHAnsi" w:eastAsiaTheme="minorEastAsia" w:hAnsiTheme="minorHAnsi" w:cstheme="minorBidi"/>
          <w:kern w:val="2"/>
          <w:sz w:val="24"/>
          <w:szCs w:val="24"/>
          <w:lang w:val="en-US"/>
          <w14:ligatures w14:val="standardContextual"/>
        </w:rPr>
        <w:tab/>
      </w:r>
      <w:r w:rsidR="001C5EBD">
        <w:t xml:space="preserve">Location-based SMTC enhancement is also supported in moving cell scenario. The existing </w:t>
      </w:r>
      <w:r w:rsidR="001C5EBD" w:rsidRPr="004865E9">
        <w:rPr>
          <w:i/>
          <w:iCs/>
        </w:rPr>
        <w:t>m</w:t>
      </w:r>
      <w:r w:rsidR="001C5EBD" w:rsidRPr="004865E9">
        <w:rPr>
          <w:rFonts w:eastAsia="Times New Roman"/>
          <w:i/>
          <w:iCs/>
        </w:rPr>
        <w:t>ovingReferenceLocation</w:t>
      </w:r>
      <w:r w:rsidR="001C5EBD" w:rsidRPr="004865E9">
        <w:rPr>
          <w:rFonts w:eastAsia="Times New Roman"/>
        </w:rPr>
        <w:t xml:space="preserve"> is reused for this purpose (i.e., network can update the </w:t>
      </w:r>
      <w:r w:rsidR="001C5EBD" w:rsidRPr="004865E9">
        <w:rPr>
          <w:i/>
          <w:iCs/>
        </w:rPr>
        <w:t>m</w:t>
      </w:r>
      <w:r w:rsidR="001C5EBD" w:rsidRPr="004865E9">
        <w:rPr>
          <w:rFonts w:eastAsia="Times New Roman"/>
          <w:i/>
          <w:iCs/>
        </w:rPr>
        <w:t>ovingReferenceLocation</w:t>
      </w:r>
      <w:r w:rsidR="001C5EBD" w:rsidRPr="004865E9">
        <w:rPr>
          <w:rFonts w:eastAsia="Times New Roman"/>
        </w:rPr>
        <w:t xml:space="preserve"> with epoch time without notifying UE).</w:t>
      </w:r>
    </w:p>
    <w:p w14:paraId="3B87B49F" w14:textId="77777777" w:rsidR="001C5EBD" w:rsidRDefault="001C5EBD">
      <w:pPr>
        <w:pStyle w:val="TOC1"/>
        <w:tabs>
          <w:tab w:val="left" w:pos="1200"/>
        </w:tabs>
        <w:rPr>
          <w:rFonts w:asciiTheme="minorHAnsi" w:eastAsiaTheme="minorEastAsia" w:hAnsiTheme="minorHAnsi" w:cstheme="minorBidi"/>
          <w:kern w:val="2"/>
          <w:sz w:val="24"/>
          <w:szCs w:val="24"/>
          <w:lang w:val="en-US"/>
          <w14:ligatures w14:val="standardContextual"/>
        </w:rPr>
      </w:pPr>
      <w:r>
        <w:t>Proposal 2</w:t>
      </w:r>
      <w:r>
        <w:rPr>
          <w:rFonts w:asciiTheme="minorHAnsi" w:eastAsiaTheme="minorEastAsia" w:hAnsiTheme="minorHAnsi" w:cstheme="minorBidi"/>
          <w:kern w:val="2"/>
          <w:sz w:val="24"/>
          <w:szCs w:val="24"/>
          <w:lang w:val="en-US"/>
          <w14:ligatures w14:val="standardContextual"/>
        </w:rPr>
        <w:tab/>
      </w:r>
      <w:r>
        <w:t>Location-based SMTC is sufficient to solve issue of selecting four SMTCs both in connected mode and idle mode measurements and there is no need to introduce second solution to solve the same issue in Rel-19.</w:t>
      </w:r>
    </w:p>
    <w:p w14:paraId="6028FB6C" w14:textId="77777777" w:rsidR="001C5EBD" w:rsidRDefault="001C5EBD">
      <w:pPr>
        <w:pStyle w:val="TOC1"/>
        <w:tabs>
          <w:tab w:val="left" w:pos="1200"/>
        </w:tabs>
        <w:rPr>
          <w:rFonts w:asciiTheme="minorHAnsi" w:eastAsiaTheme="minorEastAsia" w:hAnsiTheme="minorHAnsi" w:cstheme="minorBidi"/>
          <w:kern w:val="2"/>
          <w:sz w:val="24"/>
          <w:szCs w:val="24"/>
          <w:lang w:val="en-US"/>
          <w14:ligatures w14:val="standardContextual"/>
        </w:rPr>
      </w:pPr>
      <w:r>
        <w:t>Proposal 3</w:t>
      </w:r>
      <w:r>
        <w:rPr>
          <w:rFonts w:asciiTheme="minorHAnsi" w:eastAsiaTheme="minorEastAsia" w:hAnsiTheme="minorHAnsi" w:cstheme="minorBidi"/>
          <w:kern w:val="2"/>
          <w:sz w:val="24"/>
          <w:szCs w:val="24"/>
          <w:lang w:val="en-US"/>
          <w14:ligatures w14:val="standardContextual"/>
        </w:rPr>
        <w:tab/>
      </w:r>
      <w:r>
        <w:t>RAN2 first needs to decide whether more than 4 SMTCs configuration is applicable for inter-frequency measurements.</w:t>
      </w:r>
    </w:p>
    <w:p w14:paraId="1F4238E6" w14:textId="77777777" w:rsidR="001C5EBD" w:rsidRDefault="001C5EBD">
      <w:pPr>
        <w:pStyle w:val="TOC1"/>
        <w:tabs>
          <w:tab w:val="left" w:pos="1200"/>
        </w:tabs>
        <w:rPr>
          <w:rFonts w:asciiTheme="minorHAnsi" w:eastAsiaTheme="minorEastAsia" w:hAnsiTheme="minorHAnsi" w:cstheme="minorBidi"/>
          <w:kern w:val="2"/>
          <w:sz w:val="24"/>
          <w:szCs w:val="24"/>
          <w:lang w:val="en-US"/>
          <w14:ligatures w14:val="standardContextual"/>
        </w:rPr>
      </w:pPr>
      <w:r>
        <w:t>Proposal 4</w:t>
      </w:r>
      <w:r>
        <w:rPr>
          <w:rFonts w:asciiTheme="minorHAnsi" w:eastAsiaTheme="minorEastAsia" w:hAnsiTheme="minorHAnsi" w:cstheme="minorBidi"/>
          <w:kern w:val="2"/>
          <w:sz w:val="24"/>
          <w:szCs w:val="24"/>
          <w:lang w:val="en-US"/>
          <w14:ligatures w14:val="standardContextual"/>
        </w:rPr>
        <w:tab/>
      </w:r>
      <w:r>
        <w:t>If SMTC enhancement is applicable for inter-frequency measurements, it is up to UE how to select SMTC based on location and use multiple periodicities for IDLE mode inter-frequency measurements.</w:t>
      </w:r>
    </w:p>
    <w:p w14:paraId="4A8DA127" w14:textId="77777777" w:rsidR="001C5EBD" w:rsidRDefault="001C5EBD">
      <w:pPr>
        <w:pStyle w:val="TOC1"/>
        <w:tabs>
          <w:tab w:val="left" w:pos="1200"/>
        </w:tabs>
        <w:rPr>
          <w:rFonts w:asciiTheme="minorHAnsi" w:eastAsiaTheme="minorEastAsia" w:hAnsiTheme="minorHAnsi" w:cstheme="minorBidi"/>
          <w:kern w:val="2"/>
          <w:sz w:val="24"/>
          <w:szCs w:val="24"/>
          <w:lang w:val="en-US"/>
          <w14:ligatures w14:val="standardContextual"/>
        </w:rPr>
      </w:pPr>
      <w:r>
        <w:t>Proposal 5</w:t>
      </w:r>
      <w:r>
        <w:rPr>
          <w:rFonts w:asciiTheme="minorHAnsi" w:eastAsiaTheme="minorEastAsia" w:hAnsiTheme="minorHAnsi" w:cstheme="minorBidi"/>
          <w:kern w:val="2"/>
          <w:sz w:val="24"/>
          <w:szCs w:val="24"/>
          <w:lang w:val="en-US"/>
          <w14:ligatures w14:val="standardContextual"/>
        </w:rPr>
        <w:tab/>
      </w:r>
      <w:r>
        <w:t>If SMTC enhancement is applicable for inter-frequency measurements, a new UE capability to support two periodicities for connected mode inter-frequency measurements is introduced and an LS is sent to RAN4 for any issue/concern.</w:t>
      </w:r>
    </w:p>
    <w:p w14:paraId="366C2797" w14:textId="77777777" w:rsidR="001C5EBD" w:rsidRDefault="001C5EBD">
      <w:pPr>
        <w:pStyle w:val="TOC1"/>
        <w:tabs>
          <w:tab w:val="left" w:pos="1200"/>
        </w:tabs>
        <w:rPr>
          <w:rFonts w:asciiTheme="minorHAnsi" w:eastAsiaTheme="minorEastAsia" w:hAnsiTheme="minorHAnsi" w:cstheme="minorBidi"/>
          <w:kern w:val="2"/>
          <w:sz w:val="24"/>
          <w:szCs w:val="24"/>
          <w:lang w:val="en-US"/>
          <w14:ligatures w14:val="standardContextual"/>
        </w:rPr>
      </w:pPr>
      <w:r>
        <w:t>Proposal 6</w:t>
      </w:r>
      <w:r>
        <w:rPr>
          <w:rFonts w:asciiTheme="minorHAnsi" w:eastAsiaTheme="minorEastAsia" w:hAnsiTheme="minorHAnsi" w:cstheme="minorBidi"/>
          <w:kern w:val="2"/>
          <w:sz w:val="24"/>
          <w:szCs w:val="24"/>
          <w:lang w:val="en-US"/>
          <w14:ligatures w14:val="standardContextual"/>
        </w:rPr>
        <w:tab/>
      </w:r>
      <w:r>
        <w:t>Total number of satellites across intra and inter-frequency measurements at a given time instance does not exceed 4.</w:t>
      </w:r>
    </w:p>
    <w:p w14:paraId="572A2F30" w14:textId="6E379E33" w:rsidR="002531E6" w:rsidRPr="001E3B4A" w:rsidRDefault="00A81919" w:rsidP="001E3B4A">
      <w:pPr>
        <w:pStyle w:val="Heading1"/>
        <w:numPr>
          <w:ilvl w:val="0"/>
          <w:numId w:val="6"/>
        </w:numPr>
        <w:pBdr>
          <w:top w:val="single" w:sz="12" w:space="2" w:color="auto"/>
        </w:pBdr>
        <w:tabs>
          <w:tab w:val="num" w:pos="720"/>
        </w:tabs>
        <w:ind w:left="720" w:hanging="720"/>
      </w:pPr>
      <w:r>
        <w:rPr>
          <w:noProof/>
          <w:sz w:val="22"/>
        </w:rPr>
        <w:fldChar w:fldCharType="end"/>
      </w:r>
      <w:r w:rsidR="00D97D45" w:rsidRPr="001E3B4A">
        <w:t>References</w:t>
      </w:r>
    </w:p>
    <w:p w14:paraId="7E67FFC4" w14:textId="64A82A00" w:rsidR="00D97D45" w:rsidRDefault="00D97D45" w:rsidP="00D97D45">
      <w:r>
        <w:t xml:space="preserve">[1] </w:t>
      </w:r>
      <w:r w:rsidR="0035471D" w:rsidRPr="0035471D">
        <w:t>R2-2503068</w:t>
      </w:r>
      <w:r w:rsidR="00143521">
        <w:t>, “</w:t>
      </w:r>
      <w:r w:rsidR="0094144B" w:rsidRPr="0094144B">
        <w:t>LS on SMTC enhancements</w:t>
      </w:r>
      <w:r w:rsidR="004F00AD">
        <w:t>”</w:t>
      </w:r>
      <w:r w:rsidR="0094144B">
        <w:t xml:space="preserve"> RAN2#129bis, Source RAN2, To RAN4</w:t>
      </w:r>
      <w:r w:rsidR="001E3B4A">
        <w:t>.</w:t>
      </w:r>
    </w:p>
    <w:sectPr w:rsidR="00D97D45" w:rsidSect="00195324">
      <w:footerReference w:type="default" r:id="rId15"/>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D48BDE" w14:textId="77777777" w:rsidR="004C02F8" w:rsidRDefault="004C02F8">
      <w:pPr>
        <w:spacing w:after="0"/>
      </w:pPr>
      <w:r>
        <w:separator/>
      </w:r>
    </w:p>
  </w:endnote>
  <w:endnote w:type="continuationSeparator" w:id="0">
    <w:p w14:paraId="6CC3D963" w14:textId="77777777" w:rsidR="004C02F8" w:rsidRDefault="004C02F8">
      <w:pPr>
        <w:spacing w:after="0"/>
      </w:pPr>
      <w:r>
        <w:continuationSeparator/>
      </w:r>
    </w:p>
  </w:endnote>
  <w:endnote w:type="continuationNotice" w:id="1">
    <w:p w14:paraId="75FD6FAF" w14:textId="77777777" w:rsidR="004C02F8" w:rsidRDefault="004C0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3995B" w14:textId="77777777" w:rsidR="00E868A4" w:rsidRDefault="00E868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66E95" w14:textId="77777777" w:rsidR="004C02F8" w:rsidRDefault="004C02F8">
      <w:pPr>
        <w:spacing w:after="0"/>
      </w:pPr>
      <w:r>
        <w:separator/>
      </w:r>
    </w:p>
  </w:footnote>
  <w:footnote w:type="continuationSeparator" w:id="0">
    <w:p w14:paraId="683ABE46" w14:textId="77777777" w:rsidR="004C02F8" w:rsidRDefault="004C02F8">
      <w:pPr>
        <w:spacing w:after="0"/>
      </w:pPr>
      <w:r>
        <w:continuationSeparator/>
      </w:r>
    </w:p>
  </w:footnote>
  <w:footnote w:type="continuationNotice" w:id="1">
    <w:p w14:paraId="61FA798D" w14:textId="77777777" w:rsidR="004C02F8" w:rsidRDefault="004C02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34C10"/>
    <w:multiLevelType w:val="hybridMultilevel"/>
    <w:tmpl w:val="F3209AAE"/>
    <w:lvl w:ilvl="0" w:tplc="7B1425E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95630"/>
    <w:multiLevelType w:val="multilevel"/>
    <w:tmpl w:val="1399563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B56CD"/>
    <w:multiLevelType w:val="multilevel"/>
    <w:tmpl w:val="1AFB56C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0971A1"/>
    <w:multiLevelType w:val="hybridMultilevel"/>
    <w:tmpl w:val="A8C06550"/>
    <w:lvl w:ilvl="0" w:tplc="3BB4D64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0A556B7"/>
    <w:multiLevelType w:val="multilevel"/>
    <w:tmpl w:val="9DD44D12"/>
    <w:lvl w:ilvl="0">
      <w:start w:val="1"/>
      <w:numFmt w:val="decimal"/>
      <w:pStyle w:val="Propos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54B2955"/>
    <w:multiLevelType w:val="hybridMultilevel"/>
    <w:tmpl w:val="0778C84A"/>
    <w:lvl w:ilvl="0" w:tplc="2E54B18C">
      <w:start w:val="1"/>
      <w:numFmt w:val="decim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267C66"/>
    <w:multiLevelType w:val="multilevel"/>
    <w:tmpl w:val="67267C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numFmt w:val="bullet"/>
      <w:lvlText w:val="•"/>
      <w:lvlJc w:val="left"/>
      <w:pPr>
        <w:ind w:left="6540" w:hanging="360"/>
      </w:pPr>
      <w:rPr>
        <w:rFonts w:ascii="Times New Roman" w:eastAsia="SimSun" w:hAnsi="Times New Roman" w:cs="Times New Roman" w:hint="default"/>
      </w:rPr>
    </w:lvl>
  </w:abstractNum>
  <w:abstractNum w:abstractNumId="19" w15:restartNumberingAfterBreak="0">
    <w:nsid w:val="68F37D80"/>
    <w:multiLevelType w:val="hybridMultilevel"/>
    <w:tmpl w:val="CEA05480"/>
    <w:lvl w:ilvl="0" w:tplc="09B6F92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127573"/>
    <w:multiLevelType w:val="hybridMultilevel"/>
    <w:tmpl w:val="35FA3914"/>
    <w:lvl w:ilvl="0" w:tplc="1B143976">
      <w:start w:val="1"/>
      <w:numFmt w:val="bullet"/>
      <w:lvlText w:val="•"/>
      <w:lvlJc w:val="left"/>
      <w:pPr>
        <w:tabs>
          <w:tab w:val="num" w:pos="720"/>
        </w:tabs>
        <w:ind w:left="720" w:hanging="360"/>
      </w:pPr>
      <w:rPr>
        <w:rFonts w:ascii="Times New Roman" w:hAnsi="Times New Roman" w:hint="default"/>
      </w:rPr>
    </w:lvl>
    <w:lvl w:ilvl="1" w:tplc="D0A2817A" w:tentative="1">
      <w:start w:val="1"/>
      <w:numFmt w:val="bullet"/>
      <w:lvlText w:val="•"/>
      <w:lvlJc w:val="left"/>
      <w:pPr>
        <w:tabs>
          <w:tab w:val="num" w:pos="1440"/>
        </w:tabs>
        <w:ind w:left="1440" w:hanging="360"/>
      </w:pPr>
      <w:rPr>
        <w:rFonts w:ascii="Times New Roman" w:hAnsi="Times New Roman" w:hint="default"/>
      </w:rPr>
    </w:lvl>
    <w:lvl w:ilvl="2" w:tplc="9AE489C6" w:tentative="1">
      <w:start w:val="1"/>
      <w:numFmt w:val="bullet"/>
      <w:lvlText w:val="•"/>
      <w:lvlJc w:val="left"/>
      <w:pPr>
        <w:tabs>
          <w:tab w:val="num" w:pos="2160"/>
        </w:tabs>
        <w:ind w:left="2160" w:hanging="360"/>
      </w:pPr>
      <w:rPr>
        <w:rFonts w:ascii="Times New Roman" w:hAnsi="Times New Roman" w:hint="default"/>
      </w:rPr>
    </w:lvl>
    <w:lvl w:ilvl="3" w:tplc="E1F4E77C" w:tentative="1">
      <w:start w:val="1"/>
      <w:numFmt w:val="bullet"/>
      <w:lvlText w:val="•"/>
      <w:lvlJc w:val="left"/>
      <w:pPr>
        <w:tabs>
          <w:tab w:val="num" w:pos="2880"/>
        </w:tabs>
        <w:ind w:left="2880" w:hanging="360"/>
      </w:pPr>
      <w:rPr>
        <w:rFonts w:ascii="Times New Roman" w:hAnsi="Times New Roman" w:hint="default"/>
      </w:rPr>
    </w:lvl>
    <w:lvl w:ilvl="4" w:tplc="05BC49B0" w:tentative="1">
      <w:start w:val="1"/>
      <w:numFmt w:val="bullet"/>
      <w:lvlText w:val="•"/>
      <w:lvlJc w:val="left"/>
      <w:pPr>
        <w:tabs>
          <w:tab w:val="num" w:pos="3600"/>
        </w:tabs>
        <w:ind w:left="3600" w:hanging="360"/>
      </w:pPr>
      <w:rPr>
        <w:rFonts w:ascii="Times New Roman" w:hAnsi="Times New Roman" w:hint="default"/>
      </w:rPr>
    </w:lvl>
    <w:lvl w:ilvl="5" w:tplc="73109254" w:tentative="1">
      <w:start w:val="1"/>
      <w:numFmt w:val="bullet"/>
      <w:lvlText w:val="•"/>
      <w:lvlJc w:val="left"/>
      <w:pPr>
        <w:tabs>
          <w:tab w:val="num" w:pos="4320"/>
        </w:tabs>
        <w:ind w:left="4320" w:hanging="360"/>
      </w:pPr>
      <w:rPr>
        <w:rFonts w:ascii="Times New Roman" w:hAnsi="Times New Roman" w:hint="default"/>
      </w:rPr>
    </w:lvl>
    <w:lvl w:ilvl="6" w:tplc="0DFE4674" w:tentative="1">
      <w:start w:val="1"/>
      <w:numFmt w:val="bullet"/>
      <w:lvlText w:val="•"/>
      <w:lvlJc w:val="left"/>
      <w:pPr>
        <w:tabs>
          <w:tab w:val="num" w:pos="5040"/>
        </w:tabs>
        <w:ind w:left="5040" w:hanging="360"/>
      </w:pPr>
      <w:rPr>
        <w:rFonts w:ascii="Times New Roman" w:hAnsi="Times New Roman" w:hint="default"/>
      </w:rPr>
    </w:lvl>
    <w:lvl w:ilvl="7" w:tplc="4BFC50B4" w:tentative="1">
      <w:start w:val="1"/>
      <w:numFmt w:val="bullet"/>
      <w:lvlText w:val="•"/>
      <w:lvlJc w:val="left"/>
      <w:pPr>
        <w:tabs>
          <w:tab w:val="num" w:pos="5760"/>
        </w:tabs>
        <w:ind w:left="5760" w:hanging="360"/>
      </w:pPr>
      <w:rPr>
        <w:rFonts w:ascii="Times New Roman" w:hAnsi="Times New Roman" w:hint="default"/>
      </w:rPr>
    </w:lvl>
    <w:lvl w:ilvl="8" w:tplc="6E66DC2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57B4E1C"/>
    <w:multiLevelType w:val="hybridMultilevel"/>
    <w:tmpl w:val="AFBE8B98"/>
    <w:lvl w:ilvl="0" w:tplc="C5386D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14225905">
    <w:abstractNumId w:val="4"/>
  </w:num>
  <w:num w:numId="2" w16cid:durableId="165562215">
    <w:abstractNumId w:val="25"/>
  </w:num>
  <w:num w:numId="3" w16cid:durableId="848328707">
    <w:abstractNumId w:val="3"/>
  </w:num>
  <w:num w:numId="4" w16cid:durableId="1457137946">
    <w:abstractNumId w:val="15"/>
  </w:num>
  <w:num w:numId="5" w16cid:durableId="1097747988">
    <w:abstractNumId w:val="25"/>
  </w:num>
  <w:num w:numId="6" w16cid:durableId="675621482">
    <w:abstractNumId w:val="11"/>
  </w:num>
  <w:num w:numId="7" w16cid:durableId="1304964842">
    <w:abstractNumId w:val="17"/>
  </w:num>
  <w:num w:numId="8" w16cid:durableId="125047382">
    <w:abstractNumId w:val="12"/>
  </w:num>
  <w:num w:numId="9" w16cid:durableId="269971381">
    <w:abstractNumId w:val="22"/>
  </w:num>
  <w:num w:numId="10" w16cid:durableId="1166480600">
    <w:abstractNumId w:val="7"/>
  </w:num>
  <w:num w:numId="11" w16cid:durableId="1899051820">
    <w:abstractNumId w:val="14"/>
  </w:num>
  <w:num w:numId="12" w16cid:durableId="1750300129">
    <w:abstractNumId w:val="16"/>
  </w:num>
  <w:num w:numId="13" w16cid:durableId="1246263475">
    <w:abstractNumId w:val="15"/>
  </w:num>
  <w:num w:numId="14" w16cid:durableId="1670326438">
    <w:abstractNumId w:val="15"/>
  </w:num>
  <w:num w:numId="15" w16cid:durableId="1185368059">
    <w:abstractNumId w:val="1"/>
  </w:num>
  <w:num w:numId="16" w16cid:durableId="680856319">
    <w:abstractNumId w:val="6"/>
  </w:num>
  <w:num w:numId="17" w16cid:durableId="1320383609">
    <w:abstractNumId w:val="5"/>
  </w:num>
  <w:num w:numId="18" w16cid:durableId="1506020440">
    <w:abstractNumId w:val="15"/>
  </w:num>
  <w:num w:numId="19" w16cid:durableId="1131437444">
    <w:abstractNumId w:val="21"/>
  </w:num>
  <w:num w:numId="20" w16cid:durableId="1554272510">
    <w:abstractNumId w:val="15"/>
  </w:num>
  <w:num w:numId="21" w16cid:durableId="2070877550">
    <w:abstractNumId w:val="23"/>
  </w:num>
  <w:num w:numId="22" w16cid:durableId="1726248054">
    <w:abstractNumId w:val="15"/>
  </w:num>
  <w:num w:numId="23" w16cid:durableId="611282159">
    <w:abstractNumId w:val="24"/>
  </w:num>
  <w:num w:numId="24" w16cid:durableId="1473984226">
    <w:abstractNumId w:val="8"/>
  </w:num>
  <w:num w:numId="25" w16cid:durableId="52776904">
    <w:abstractNumId w:val="15"/>
  </w:num>
  <w:num w:numId="26" w16cid:durableId="194077589">
    <w:abstractNumId w:val="15"/>
  </w:num>
  <w:num w:numId="27" w16cid:durableId="776409118">
    <w:abstractNumId w:val="9"/>
  </w:num>
  <w:num w:numId="28" w16cid:durableId="1204831060">
    <w:abstractNumId w:val="0"/>
  </w:num>
  <w:num w:numId="29" w16cid:durableId="1459685286">
    <w:abstractNumId w:val="15"/>
  </w:num>
  <w:num w:numId="30" w16cid:durableId="176817772">
    <w:abstractNumId w:val="20"/>
  </w:num>
  <w:num w:numId="31" w16cid:durableId="809637612">
    <w:abstractNumId w:val="19"/>
  </w:num>
  <w:num w:numId="32" w16cid:durableId="1773433720">
    <w:abstractNumId w:val="10"/>
  </w:num>
  <w:num w:numId="33" w16cid:durableId="911278171">
    <w:abstractNumId w:val="13"/>
  </w:num>
  <w:num w:numId="34" w16cid:durableId="782726848">
    <w:abstractNumId w:val="15"/>
  </w:num>
  <w:num w:numId="35" w16cid:durableId="1704788910">
    <w:abstractNumId w:val="2"/>
  </w:num>
  <w:num w:numId="36" w16cid:durableId="2144647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5"/>
    <w:rsid w:val="00001A0A"/>
    <w:rsid w:val="00002BE8"/>
    <w:rsid w:val="00004132"/>
    <w:rsid w:val="00005AB5"/>
    <w:rsid w:val="00017982"/>
    <w:rsid w:val="0002101C"/>
    <w:rsid w:val="00023B63"/>
    <w:rsid w:val="00024312"/>
    <w:rsid w:val="000304AA"/>
    <w:rsid w:val="00032149"/>
    <w:rsid w:val="000326BF"/>
    <w:rsid w:val="00034513"/>
    <w:rsid w:val="000346A6"/>
    <w:rsid w:val="000347E9"/>
    <w:rsid w:val="00035798"/>
    <w:rsid w:val="00041ADC"/>
    <w:rsid w:val="00043721"/>
    <w:rsid w:val="00054918"/>
    <w:rsid w:val="00056E47"/>
    <w:rsid w:val="00061041"/>
    <w:rsid w:val="0006104D"/>
    <w:rsid w:val="000626D5"/>
    <w:rsid w:val="000711D9"/>
    <w:rsid w:val="000712ED"/>
    <w:rsid w:val="000730BA"/>
    <w:rsid w:val="00076018"/>
    <w:rsid w:val="00076F06"/>
    <w:rsid w:val="00077247"/>
    <w:rsid w:val="00083B27"/>
    <w:rsid w:val="000841DA"/>
    <w:rsid w:val="00084AC2"/>
    <w:rsid w:val="000855B8"/>
    <w:rsid w:val="00086859"/>
    <w:rsid w:val="00087A9A"/>
    <w:rsid w:val="000933B6"/>
    <w:rsid w:val="000957D6"/>
    <w:rsid w:val="00095B0E"/>
    <w:rsid w:val="00097AC9"/>
    <w:rsid w:val="000A03FD"/>
    <w:rsid w:val="000B4266"/>
    <w:rsid w:val="000B4525"/>
    <w:rsid w:val="000B4873"/>
    <w:rsid w:val="000B5286"/>
    <w:rsid w:val="000C3ED2"/>
    <w:rsid w:val="000D2AB5"/>
    <w:rsid w:val="000D3D32"/>
    <w:rsid w:val="000D51CD"/>
    <w:rsid w:val="000D7711"/>
    <w:rsid w:val="000E2C31"/>
    <w:rsid w:val="000E5935"/>
    <w:rsid w:val="000E61A5"/>
    <w:rsid w:val="000F43CD"/>
    <w:rsid w:val="000F5047"/>
    <w:rsid w:val="000F537B"/>
    <w:rsid w:val="000F5B80"/>
    <w:rsid w:val="001008D1"/>
    <w:rsid w:val="001058F4"/>
    <w:rsid w:val="00105A52"/>
    <w:rsid w:val="00110DCF"/>
    <w:rsid w:val="001120ED"/>
    <w:rsid w:val="00112334"/>
    <w:rsid w:val="00117F1A"/>
    <w:rsid w:val="00121D6B"/>
    <w:rsid w:val="00125D1F"/>
    <w:rsid w:val="00127178"/>
    <w:rsid w:val="00131CD6"/>
    <w:rsid w:val="00132315"/>
    <w:rsid w:val="00132FA9"/>
    <w:rsid w:val="001338B7"/>
    <w:rsid w:val="00134573"/>
    <w:rsid w:val="00137C32"/>
    <w:rsid w:val="00143521"/>
    <w:rsid w:val="00146B2F"/>
    <w:rsid w:val="00146D67"/>
    <w:rsid w:val="00147207"/>
    <w:rsid w:val="00152A3B"/>
    <w:rsid w:val="001547BE"/>
    <w:rsid w:val="0016005C"/>
    <w:rsid w:val="001625A4"/>
    <w:rsid w:val="00162617"/>
    <w:rsid w:val="00165516"/>
    <w:rsid w:val="00167EED"/>
    <w:rsid w:val="00172537"/>
    <w:rsid w:val="00173883"/>
    <w:rsid w:val="001741DA"/>
    <w:rsid w:val="0017440B"/>
    <w:rsid w:val="00175340"/>
    <w:rsid w:val="00176543"/>
    <w:rsid w:val="0018095D"/>
    <w:rsid w:val="00181D18"/>
    <w:rsid w:val="001852E6"/>
    <w:rsid w:val="001855E9"/>
    <w:rsid w:val="00186086"/>
    <w:rsid w:val="001924A8"/>
    <w:rsid w:val="00192E2D"/>
    <w:rsid w:val="00195324"/>
    <w:rsid w:val="0019748F"/>
    <w:rsid w:val="00197843"/>
    <w:rsid w:val="001A0825"/>
    <w:rsid w:val="001C0A05"/>
    <w:rsid w:val="001C0D36"/>
    <w:rsid w:val="001C472A"/>
    <w:rsid w:val="001C57D3"/>
    <w:rsid w:val="001C5EBD"/>
    <w:rsid w:val="001C79A1"/>
    <w:rsid w:val="001D20F9"/>
    <w:rsid w:val="001E3B4A"/>
    <w:rsid w:val="001E3FE7"/>
    <w:rsid w:val="001E7D81"/>
    <w:rsid w:val="001F2B9D"/>
    <w:rsid w:val="001F709D"/>
    <w:rsid w:val="001F79BC"/>
    <w:rsid w:val="00200750"/>
    <w:rsid w:val="00200CB4"/>
    <w:rsid w:val="00203086"/>
    <w:rsid w:val="002040AD"/>
    <w:rsid w:val="00212A78"/>
    <w:rsid w:val="002138E1"/>
    <w:rsid w:val="00214438"/>
    <w:rsid w:val="00222121"/>
    <w:rsid w:val="00226EA2"/>
    <w:rsid w:val="00230B91"/>
    <w:rsid w:val="00230DB1"/>
    <w:rsid w:val="00231527"/>
    <w:rsid w:val="002326BB"/>
    <w:rsid w:val="00234164"/>
    <w:rsid w:val="00241E90"/>
    <w:rsid w:val="002421B8"/>
    <w:rsid w:val="00246E0E"/>
    <w:rsid w:val="002531E6"/>
    <w:rsid w:val="002578E0"/>
    <w:rsid w:val="0026765E"/>
    <w:rsid w:val="00270DAA"/>
    <w:rsid w:val="00273F0F"/>
    <w:rsid w:val="00276A10"/>
    <w:rsid w:val="00280CE9"/>
    <w:rsid w:val="002842A1"/>
    <w:rsid w:val="00291859"/>
    <w:rsid w:val="00292866"/>
    <w:rsid w:val="002954D8"/>
    <w:rsid w:val="00296F53"/>
    <w:rsid w:val="00297577"/>
    <w:rsid w:val="00297B37"/>
    <w:rsid w:val="00297FF8"/>
    <w:rsid w:val="002A0B22"/>
    <w:rsid w:val="002A0BF5"/>
    <w:rsid w:val="002A3C7D"/>
    <w:rsid w:val="002A538D"/>
    <w:rsid w:val="002A57B4"/>
    <w:rsid w:val="002A6DAF"/>
    <w:rsid w:val="002A792C"/>
    <w:rsid w:val="002B0640"/>
    <w:rsid w:val="002B2CC1"/>
    <w:rsid w:val="002B4AD9"/>
    <w:rsid w:val="002B6450"/>
    <w:rsid w:val="002C08B1"/>
    <w:rsid w:val="002C4E12"/>
    <w:rsid w:val="002C6B35"/>
    <w:rsid w:val="002C7B84"/>
    <w:rsid w:val="002D4724"/>
    <w:rsid w:val="002D6AAE"/>
    <w:rsid w:val="002D6B09"/>
    <w:rsid w:val="002D7705"/>
    <w:rsid w:val="002E1490"/>
    <w:rsid w:val="002E505D"/>
    <w:rsid w:val="002F0BC7"/>
    <w:rsid w:val="002F109A"/>
    <w:rsid w:val="002F31FB"/>
    <w:rsid w:val="002F6580"/>
    <w:rsid w:val="002F66DE"/>
    <w:rsid w:val="0030098D"/>
    <w:rsid w:val="003031CF"/>
    <w:rsid w:val="003176AB"/>
    <w:rsid w:val="00317ABF"/>
    <w:rsid w:val="00323373"/>
    <w:rsid w:val="00330719"/>
    <w:rsid w:val="00334BE4"/>
    <w:rsid w:val="00340C04"/>
    <w:rsid w:val="00341E19"/>
    <w:rsid w:val="00344C4B"/>
    <w:rsid w:val="003469A8"/>
    <w:rsid w:val="00346EA7"/>
    <w:rsid w:val="00347C10"/>
    <w:rsid w:val="0035471D"/>
    <w:rsid w:val="00355001"/>
    <w:rsid w:val="00356604"/>
    <w:rsid w:val="00356D03"/>
    <w:rsid w:val="0036242C"/>
    <w:rsid w:val="003631CC"/>
    <w:rsid w:val="003707A2"/>
    <w:rsid w:val="00371CCD"/>
    <w:rsid w:val="00374B85"/>
    <w:rsid w:val="003763F3"/>
    <w:rsid w:val="003766BD"/>
    <w:rsid w:val="003809E1"/>
    <w:rsid w:val="003809E3"/>
    <w:rsid w:val="0038100D"/>
    <w:rsid w:val="00381150"/>
    <w:rsid w:val="0038771F"/>
    <w:rsid w:val="00392739"/>
    <w:rsid w:val="0039578C"/>
    <w:rsid w:val="00397D2B"/>
    <w:rsid w:val="003A08FC"/>
    <w:rsid w:val="003A0CB9"/>
    <w:rsid w:val="003A75B4"/>
    <w:rsid w:val="003A7F98"/>
    <w:rsid w:val="003B12BC"/>
    <w:rsid w:val="003B3559"/>
    <w:rsid w:val="003B3BF0"/>
    <w:rsid w:val="003C263F"/>
    <w:rsid w:val="003C32BE"/>
    <w:rsid w:val="003C39CC"/>
    <w:rsid w:val="003C4A6F"/>
    <w:rsid w:val="003D0600"/>
    <w:rsid w:val="003D0AD5"/>
    <w:rsid w:val="003D14BB"/>
    <w:rsid w:val="003D26F9"/>
    <w:rsid w:val="003D272D"/>
    <w:rsid w:val="003D658B"/>
    <w:rsid w:val="003D7579"/>
    <w:rsid w:val="003E0075"/>
    <w:rsid w:val="003E0126"/>
    <w:rsid w:val="003E2278"/>
    <w:rsid w:val="003E595D"/>
    <w:rsid w:val="003E5ADF"/>
    <w:rsid w:val="003F4202"/>
    <w:rsid w:val="003F4986"/>
    <w:rsid w:val="003F5B15"/>
    <w:rsid w:val="003F60FE"/>
    <w:rsid w:val="003F65BD"/>
    <w:rsid w:val="003F73E2"/>
    <w:rsid w:val="003F7B7C"/>
    <w:rsid w:val="00402BA5"/>
    <w:rsid w:val="00407025"/>
    <w:rsid w:val="0041084D"/>
    <w:rsid w:val="00414659"/>
    <w:rsid w:val="00416329"/>
    <w:rsid w:val="00417A80"/>
    <w:rsid w:val="00417E6E"/>
    <w:rsid w:val="00420DCB"/>
    <w:rsid w:val="00421203"/>
    <w:rsid w:val="00421E24"/>
    <w:rsid w:val="0043054C"/>
    <w:rsid w:val="00431EEF"/>
    <w:rsid w:val="004324D5"/>
    <w:rsid w:val="004340EB"/>
    <w:rsid w:val="00436894"/>
    <w:rsid w:val="004379BE"/>
    <w:rsid w:val="00440D89"/>
    <w:rsid w:val="00440F1A"/>
    <w:rsid w:val="00441EEB"/>
    <w:rsid w:val="00443BA0"/>
    <w:rsid w:val="0044409E"/>
    <w:rsid w:val="00452885"/>
    <w:rsid w:val="00453B12"/>
    <w:rsid w:val="00454E70"/>
    <w:rsid w:val="00457ADF"/>
    <w:rsid w:val="004601DB"/>
    <w:rsid w:val="00461244"/>
    <w:rsid w:val="00461535"/>
    <w:rsid w:val="004629DB"/>
    <w:rsid w:val="00465068"/>
    <w:rsid w:val="00466175"/>
    <w:rsid w:val="00475EE2"/>
    <w:rsid w:val="004768A4"/>
    <w:rsid w:val="00481662"/>
    <w:rsid w:val="00482ABA"/>
    <w:rsid w:val="004860FD"/>
    <w:rsid w:val="00495AB4"/>
    <w:rsid w:val="0049738F"/>
    <w:rsid w:val="004A0679"/>
    <w:rsid w:val="004A1B8A"/>
    <w:rsid w:val="004A64F5"/>
    <w:rsid w:val="004A76D5"/>
    <w:rsid w:val="004A79AE"/>
    <w:rsid w:val="004B6A20"/>
    <w:rsid w:val="004C02F8"/>
    <w:rsid w:val="004C053C"/>
    <w:rsid w:val="004C2ABD"/>
    <w:rsid w:val="004C3083"/>
    <w:rsid w:val="004C4020"/>
    <w:rsid w:val="004C4FB3"/>
    <w:rsid w:val="004D03B3"/>
    <w:rsid w:val="004D1A5F"/>
    <w:rsid w:val="004D2063"/>
    <w:rsid w:val="004D2666"/>
    <w:rsid w:val="004D529C"/>
    <w:rsid w:val="004D5410"/>
    <w:rsid w:val="004D64AE"/>
    <w:rsid w:val="004D7348"/>
    <w:rsid w:val="004E1CF9"/>
    <w:rsid w:val="004E21FE"/>
    <w:rsid w:val="004E4061"/>
    <w:rsid w:val="004E7D96"/>
    <w:rsid w:val="004F00AD"/>
    <w:rsid w:val="004F0DEB"/>
    <w:rsid w:val="004F2903"/>
    <w:rsid w:val="004F404D"/>
    <w:rsid w:val="004F4B8E"/>
    <w:rsid w:val="004F59D6"/>
    <w:rsid w:val="004F665E"/>
    <w:rsid w:val="005023D5"/>
    <w:rsid w:val="00511B75"/>
    <w:rsid w:val="00512857"/>
    <w:rsid w:val="00521DD3"/>
    <w:rsid w:val="00523972"/>
    <w:rsid w:val="0053032A"/>
    <w:rsid w:val="0053086F"/>
    <w:rsid w:val="005316FD"/>
    <w:rsid w:val="00540D55"/>
    <w:rsid w:val="0054494E"/>
    <w:rsid w:val="0054521A"/>
    <w:rsid w:val="005473B9"/>
    <w:rsid w:val="00547A12"/>
    <w:rsid w:val="0055032C"/>
    <w:rsid w:val="0055182E"/>
    <w:rsid w:val="00552A95"/>
    <w:rsid w:val="00557401"/>
    <w:rsid w:val="00557D13"/>
    <w:rsid w:val="00560756"/>
    <w:rsid w:val="0056464A"/>
    <w:rsid w:val="00564DAA"/>
    <w:rsid w:val="00565494"/>
    <w:rsid w:val="00567739"/>
    <w:rsid w:val="00571DDF"/>
    <w:rsid w:val="00575B3D"/>
    <w:rsid w:val="005900AA"/>
    <w:rsid w:val="00595F58"/>
    <w:rsid w:val="00596543"/>
    <w:rsid w:val="005A4488"/>
    <w:rsid w:val="005A4DD8"/>
    <w:rsid w:val="005A6301"/>
    <w:rsid w:val="005A663B"/>
    <w:rsid w:val="005B2476"/>
    <w:rsid w:val="005B543D"/>
    <w:rsid w:val="005B56F6"/>
    <w:rsid w:val="005B6606"/>
    <w:rsid w:val="005B683B"/>
    <w:rsid w:val="005B704E"/>
    <w:rsid w:val="005C185A"/>
    <w:rsid w:val="005C1B2D"/>
    <w:rsid w:val="005C3338"/>
    <w:rsid w:val="005C3395"/>
    <w:rsid w:val="005C4CA5"/>
    <w:rsid w:val="005C4EDA"/>
    <w:rsid w:val="005C5690"/>
    <w:rsid w:val="005C7500"/>
    <w:rsid w:val="005C7AC6"/>
    <w:rsid w:val="005D4A3A"/>
    <w:rsid w:val="005D5E61"/>
    <w:rsid w:val="005D7334"/>
    <w:rsid w:val="005E003F"/>
    <w:rsid w:val="005E2130"/>
    <w:rsid w:val="005E22D9"/>
    <w:rsid w:val="005E7835"/>
    <w:rsid w:val="005F3D1F"/>
    <w:rsid w:val="005F5769"/>
    <w:rsid w:val="005F71C7"/>
    <w:rsid w:val="005F7C81"/>
    <w:rsid w:val="0060108D"/>
    <w:rsid w:val="00601DFA"/>
    <w:rsid w:val="00601EB2"/>
    <w:rsid w:val="0060356D"/>
    <w:rsid w:val="006035D1"/>
    <w:rsid w:val="00604F5C"/>
    <w:rsid w:val="00605513"/>
    <w:rsid w:val="0061102A"/>
    <w:rsid w:val="00613DF2"/>
    <w:rsid w:val="0061743E"/>
    <w:rsid w:val="006177A2"/>
    <w:rsid w:val="00617871"/>
    <w:rsid w:val="0062226C"/>
    <w:rsid w:val="00622F20"/>
    <w:rsid w:val="00623399"/>
    <w:rsid w:val="00625C19"/>
    <w:rsid w:val="00626D0B"/>
    <w:rsid w:val="006307E8"/>
    <w:rsid w:val="006313A5"/>
    <w:rsid w:val="006324A9"/>
    <w:rsid w:val="00635E23"/>
    <w:rsid w:val="00640038"/>
    <w:rsid w:val="00640F25"/>
    <w:rsid w:val="00643453"/>
    <w:rsid w:val="00646E66"/>
    <w:rsid w:val="00647027"/>
    <w:rsid w:val="00652A7F"/>
    <w:rsid w:val="00653206"/>
    <w:rsid w:val="0065351E"/>
    <w:rsid w:val="006545A1"/>
    <w:rsid w:val="00660099"/>
    <w:rsid w:val="00660950"/>
    <w:rsid w:val="00661AB9"/>
    <w:rsid w:val="006629B4"/>
    <w:rsid w:val="006707B4"/>
    <w:rsid w:val="00670DC6"/>
    <w:rsid w:val="00672025"/>
    <w:rsid w:val="00674E3C"/>
    <w:rsid w:val="0068471A"/>
    <w:rsid w:val="00684AA1"/>
    <w:rsid w:val="00685D63"/>
    <w:rsid w:val="006933AB"/>
    <w:rsid w:val="006938DF"/>
    <w:rsid w:val="00695184"/>
    <w:rsid w:val="006961FB"/>
    <w:rsid w:val="006A10A9"/>
    <w:rsid w:val="006A1190"/>
    <w:rsid w:val="006A3F70"/>
    <w:rsid w:val="006A3FF3"/>
    <w:rsid w:val="006A4146"/>
    <w:rsid w:val="006B160E"/>
    <w:rsid w:val="006B4076"/>
    <w:rsid w:val="006B473D"/>
    <w:rsid w:val="006B4D97"/>
    <w:rsid w:val="006C0739"/>
    <w:rsid w:val="006C09E4"/>
    <w:rsid w:val="006C0A9B"/>
    <w:rsid w:val="006C5B91"/>
    <w:rsid w:val="006C5F33"/>
    <w:rsid w:val="006D2C4F"/>
    <w:rsid w:val="006D5A22"/>
    <w:rsid w:val="006D750A"/>
    <w:rsid w:val="006E0EAC"/>
    <w:rsid w:val="006E2266"/>
    <w:rsid w:val="006E45B7"/>
    <w:rsid w:val="006E4B17"/>
    <w:rsid w:val="006E6BAC"/>
    <w:rsid w:val="006F0364"/>
    <w:rsid w:val="006F11C1"/>
    <w:rsid w:val="006F2C54"/>
    <w:rsid w:val="006F2FDD"/>
    <w:rsid w:val="006F42EA"/>
    <w:rsid w:val="006F7821"/>
    <w:rsid w:val="00701D46"/>
    <w:rsid w:val="007029C4"/>
    <w:rsid w:val="007064FB"/>
    <w:rsid w:val="00715D16"/>
    <w:rsid w:val="007169F6"/>
    <w:rsid w:val="007244BD"/>
    <w:rsid w:val="0072460B"/>
    <w:rsid w:val="00727ECE"/>
    <w:rsid w:val="00732EC1"/>
    <w:rsid w:val="0073386A"/>
    <w:rsid w:val="007446EF"/>
    <w:rsid w:val="00745D1A"/>
    <w:rsid w:val="00745E54"/>
    <w:rsid w:val="0074619C"/>
    <w:rsid w:val="00746FE1"/>
    <w:rsid w:val="00750D3B"/>
    <w:rsid w:val="0075382F"/>
    <w:rsid w:val="00754401"/>
    <w:rsid w:val="007545FF"/>
    <w:rsid w:val="00763CEF"/>
    <w:rsid w:val="00764420"/>
    <w:rsid w:val="007645C4"/>
    <w:rsid w:val="0076681A"/>
    <w:rsid w:val="00771DCF"/>
    <w:rsid w:val="0077220C"/>
    <w:rsid w:val="0077586D"/>
    <w:rsid w:val="00777CBA"/>
    <w:rsid w:val="007834EA"/>
    <w:rsid w:val="00784D94"/>
    <w:rsid w:val="00785D78"/>
    <w:rsid w:val="00797FF8"/>
    <w:rsid w:val="007A056B"/>
    <w:rsid w:val="007A0C15"/>
    <w:rsid w:val="007A22AA"/>
    <w:rsid w:val="007A3734"/>
    <w:rsid w:val="007A3F98"/>
    <w:rsid w:val="007A66F2"/>
    <w:rsid w:val="007A714C"/>
    <w:rsid w:val="007A7E0E"/>
    <w:rsid w:val="007A7EFD"/>
    <w:rsid w:val="007B0285"/>
    <w:rsid w:val="007B13EA"/>
    <w:rsid w:val="007C2991"/>
    <w:rsid w:val="007C2C1F"/>
    <w:rsid w:val="007C4C5D"/>
    <w:rsid w:val="007C5C9A"/>
    <w:rsid w:val="007C5EFF"/>
    <w:rsid w:val="007D57CA"/>
    <w:rsid w:val="007E099C"/>
    <w:rsid w:val="007E27D3"/>
    <w:rsid w:val="007E5545"/>
    <w:rsid w:val="007F0AE9"/>
    <w:rsid w:val="007F0D6F"/>
    <w:rsid w:val="007F0F96"/>
    <w:rsid w:val="007F1FF4"/>
    <w:rsid w:val="007F26E2"/>
    <w:rsid w:val="007F3021"/>
    <w:rsid w:val="007F4EC8"/>
    <w:rsid w:val="007F6D1C"/>
    <w:rsid w:val="00802ADF"/>
    <w:rsid w:val="00802DC3"/>
    <w:rsid w:val="00803950"/>
    <w:rsid w:val="00803D66"/>
    <w:rsid w:val="00804340"/>
    <w:rsid w:val="008065A2"/>
    <w:rsid w:val="0081124B"/>
    <w:rsid w:val="0081143D"/>
    <w:rsid w:val="008125F5"/>
    <w:rsid w:val="008135B9"/>
    <w:rsid w:val="0081506E"/>
    <w:rsid w:val="008178E5"/>
    <w:rsid w:val="00820EE6"/>
    <w:rsid w:val="00821538"/>
    <w:rsid w:val="00823451"/>
    <w:rsid w:val="00823DA1"/>
    <w:rsid w:val="00824665"/>
    <w:rsid w:val="0082466B"/>
    <w:rsid w:val="0082794E"/>
    <w:rsid w:val="00827C38"/>
    <w:rsid w:val="00830E88"/>
    <w:rsid w:val="00831AB1"/>
    <w:rsid w:val="008338CB"/>
    <w:rsid w:val="008370EA"/>
    <w:rsid w:val="008411A6"/>
    <w:rsid w:val="0084702E"/>
    <w:rsid w:val="00852293"/>
    <w:rsid w:val="0085402A"/>
    <w:rsid w:val="008549D2"/>
    <w:rsid w:val="008565E4"/>
    <w:rsid w:val="0086117A"/>
    <w:rsid w:val="00861806"/>
    <w:rsid w:val="00862891"/>
    <w:rsid w:val="00862ABC"/>
    <w:rsid w:val="008704AE"/>
    <w:rsid w:val="008708D5"/>
    <w:rsid w:val="00872E71"/>
    <w:rsid w:val="008744E4"/>
    <w:rsid w:val="008745AD"/>
    <w:rsid w:val="008758EE"/>
    <w:rsid w:val="008776B3"/>
    <w:rsid w:val="00884AC9"/>
    <w:rsid w:val="00890801"/>
    <w:rsid w:val="008908DD"/>
    <w:rsid w:val="008914B7"/>
    <w:rsid w:val="00894340"/>
    <w:rsid w:val="008953ED"/>
    <w:rsid w:val="00895B4A"/>
    <w:rsid w:val="00895DE4"/>
    <w:rsid w:val="008960B6"/>
    <w:rsid w:val="008966F0"/>
    <w:rsid w:val="008A650E"/>
    <w:rsid w:val="008B0668"/>
    <w:rsid w:val="008B2A7B"/>
    <w:rsid w:val="008B3873"/>
    <w:rsid w:val="008B4BE7"/>
    <w:rsid w:val="008B5E1E"/>
    <w:rsid w:val="008B6153"/>
    <w:rsid w:val="008B6FC0"/>
    <w:rsid w:val="008C0CC2"/>
    <w:rsid w:val="008C1173"/>
    <w:rsid w:val="008C25C8"/>
    <w:rsid w:val="008C5060"/>
    <w:rsid w:val="008C6058"/>
    <w:rsid w:val="008C6941"/>
    <w:rsid w:val="008C7584"/>
    <w:rsid w:val="008D29FB"/>
    <w:rsid w:val="008D4177"/>
    <w:rsid w:val="008D614D"/>
    <w:rsid w:val="008D65EE"/>
    <w:rsid w:val="008D660C"/>
    <w:rsid w:val="008D78D4"/>
    <w:rsid w:val="008D7D8B"/>
    <w:rsid w:val="008E2ED7"/>
    <w:rsid w:val="008E42B1"/>
    <w:rsid w:val="008E439A"/>
    <w:rsid w:val="008F0BC7"/>
    <w:rsid w:val="008F1189"/>
    <w:rsid w:val="008F4F5A"/>
    <w:rsid w:val="008F5196"/>
    <w:rsid w:val="009010A2"/>
    <w:rsid w:val="009031C3"/>
    <w:rsid w:val="00905F05"/>
    <w:rsid w:val="009125A8"/>
    <w:rsid w:val="00912654"/>
    <w:rsid w:val="00916AD7"/>
    <w:rsid w:val="00927418"/>
    <w:rsid w:val="009300D4"/>
    <w:rsid w:val="00930583"/>
    <w:rsid w:val="00931B6E"/>
    <w:rsid w:val="00933664"/>
    <w:rsid w:val="009350AF"/>
    <w:rsid w:val="009362FF"/>
    <w:rsid w:val="0094144B"/>
    <w:rsid w:val="0094195D"/>
    <w:rsid w:val="00943AE4"/>
    <w:rsid w:val="00945075"/>
    <w:rsid w:val="009457BF"/>
    <w:rsid w:val="00947BA4"/>
    <w:rsid w:val="00951576"/>
    <w:rsid w:val="00952132"/>
    <w:rsid w:val="009550DF"/>
    <w:rsid w:val="0095763C"/>
    <w:rsid w:val="00957D87"/>
    <w:rsid w:val="00963F05"/>
    <w:rsid w:val="00966C29"/>
    <w:rsid w:val="00966EDF"/>
    <w:rsid w:val="00971DAC"/>
    <w:rsid w:val="00972D4D"/>
    <w:rsid w:val="00977A23"/>
    <w:rsid w:val="00981ABB"/>
    <w:rsid w:val="00987FC8"/>
    <w:rsid w:val="009908C0"/>
    <w:rsid w:val="00993ED8"/>
    <w:rsid w:val="009A3448"/>
    <w:rsid w:val="009A7292"/>
    <w:rsid w:val="009A7941"/>
    <w:rsid w:val="009B0575"/>
    <w:rsid w:val="009B28ED"/>
    <w:rsid w:val="009B297C"/>
    <w:rsid w:val="009B2FD6"/>
    <w:rsid w:val="009B504F"/>
    <w:rsid w:val="009B58F7"/>
    <w:rsid w:val="009B6889"/>
    <w:rsid w:val="009B7C9E"/>
    <w:rsid w:val="009C07EB"/>
    <w:rsid w:val="009C33D7"/>
    <w:rsid w:val="009C3809"/>
    <w:rsid w:val="009C415F"/>
    <w:rsid w:val="009C52E2"/>
    <w:rsid w:val="009C754F"/>
    <w:rsid w:val="009D0388"/>
    <w:rsid w:val="009D0D73"/>
    <w:rsid w:val="009D2371"/>
    <w:rsid w:val="009D2AE3"/>
    <w:rsid w:val="009D2D2A"/>
    <w:rsid w:val="009D63EB"/>
    <w:rsid w:val="009E1B8E"/>
    <w:rsid w:val="009E1DEC"/>
    <w:rsid w:val="009E1F1B"/>
    <w:rsid w:val="009E263F"/>
    <w:rsid w:val="009E59A2"/>
    <w:rsid w:val="009F0E52"/>
    <w:rsid w:val="009F2096"/>
    <w:rsid w:val="009F385E"/>
    <w:rsid w:val="009F3D9B"/>
    <w:rsid w:val="009F5BD8"/>
    <w:rsid w:val="009F6C4E"/>
    <w:rsid w:val="00A069F4"/>
    <w:rsid w:val="00A06C89"/>
    <w:rsid w:val="00A07A88"/>
    <w:rsid w:val="00A10E9E"/>
    <w:rsid w:val="00A118FC"/>
    <w:rsid w:val="00A11C67"/>
    <w:rsid w:val="00A14473"/>
    <w:rsid w:val="00A2227E"/>
    <w:rsid w:val="00A269C6"/>
    <w:rsid w:val="00A32079"/>
    <w:rsid w:val="00A367C4"/>
    <w:rsid w:val="00A40DAF"/>
    <w:rsid w:val="00A42D72"/>
    <w:rsid w:val="00A451FA"/>
    <w:rsid w:val="00A45ACE"/>
    <w:rsid w:val="00A45DCC"/>
    <w:rsid w:val="00A471FB"/>
    <w:rsid w:val="00A52FBB"/>
    <w:rsid w:val="00A55630"/>
    <w:rsid w:val="00A57561"/>
    <w:rsid w:val="00A614BC"/>
    <w:rsid w:val="00A654E5"/>
    <w:rsid w:val="00A66088"/>
    <w:rsid w:val="00A66462"/>
    <w:rsid w:val="00A7127A"/>
    <w:rsid w:val="00A72EF8"/>
    <w:rsid w:val="00A7483D"/>
    <w:rsid w:val="00A74A13"/>
    <w:rsid w:val="00A757AC"/>
    <w:rsid w:val="00A802E7"/>
    <w:rsid w:val="00A80D75"/>
    <w:rsid w:val="00A81919"/>
    <w:rsid w:val="00A821E3"/>
    <w:rsid w:val="00A82B98"/>
    <w:rsid w:val="00A82C06"/>
    <w:rsid w:val="00A83640"/>
    <w:rsid w:val="00A86C67"/>
    <w:rsid w:val="00A90FA8"/>
    <w:rsid w:val="00A91CF6"/>
    <w:rsid w:val="00A972E3"/>
    <w:rsid w:val="00AA0954"/>
    <w:rsid w:val="00AA239B"/>
    <w:rsid w:val="00AA5F72"/>
    <w:rsid w:val="00AA7812"/>
    <w:rsid w:val="00AA7AC3"/>
    <w:rsid w:val="00AB1175"/>
    <w:rsid w:val="00AB1289"/>
    <w:rsid w:val="00AB2016"/>
    <w:rsid w:val="00AB5F35"/>
    <w:rsid w:val="00AB642F"/>
    <w:rsid w:val="00AC11A2"/>
    <w:rsid w:val="00AC4FDB"/>
    <w:rsid w:val="00AC68CE"/>
    <w:rsid w:val="00AC6A6E"/>
    <w:rsid w:val="00AD2766"/>
    <w:rsid w:val="00AD5255"/>
    <w:rsid w:val="00AE50B5"/>
    <w:rsid w:val="00AE63DF"/>
    <w:rsid w:val="00AF1906"/>
    <w:rsid w:val="00AF367E"/>
    <w:rsid w:val="00B05613"/>
    <w:rsid w:val="00B07E0C"/>
    <w:rsid w:val="00B124A8"/>
    <w:rsid w:val="00B12935"/>
    <w:rsid w:val="00B1449E"/>
    <w:rsid w:val="00B147AB"/>
    <w:rsid w:val="00B243C4"/>
    <w:rsid w:val="00B31053"/>
    <w:rsid w:val="00B36982"/>
    <w:rsid w:val="00B403BD"/>
    <w:rsid w:val="00B452DB"/>
    <w:rsid w:val="00B52D4F"/>
    <w:rsid w:val="00B538A0"/>
    <w:rsid w:val="00B539DC"/>
    <w:rsid w:val="00B55AB2"/>
    <w:rsid w:val="00B56795"/>
    <w:rsid w:val="00B56F9A"/>
    <w:rsid w:val="00B62AA2"/>
    <w:rsid w:val="00B64448"/>
    <w:rsid w:val="00B676DE"/>
    <w:rsid w:val="00B67904"/>
    <w:rsid w:val="00B71C6D"/>
    <w:rsid w:val="00B754B8"/>
    <w:rsid w:val="00B81D9C"/>
    <w:rsid w:val="00B82469"/>
    <w:rsid w:val="00B85A77"/>
    <w:rsid w:val="00B93886"/>
    <w:rsid w:val="00B94D7E"/>
    <w:rsid w:val="00B959E1"/>
    <w:rsid w:val="00B96C46"/>
    <w:rsid w:val="00B976F4"/>
    <w:rsid w:val="00BA0ADD"/>
    <w:rsid w:val="00BA163E"/>
    <w:rsid w:val="00BA5021"/>
    <w:rsid w:val="00BA5755"/>
    <w:rsid w:val="00BA59FF"/>
    <w:rsid w:val="00BA6764"/>
    <w:rsid w:val="00BB00E3"/>
    <w:rsid w:val="00BB04A9"/>
    <w:rsid w:val="00BB52E1"/>
    <w:rsid w:val="00BB67D6"/>
    <w:rsid w:val="00BB7FA4"/>
    <w:rsid w:val="00BC0D83"/>
    <w:rsid w:val="00BC0EF3"/>
    <w:rsid w:val="00BC3FC6"/>
    <w:rsid w:val="00BC4C81"/>
    <w:rsid w:val="00BC5A66"/>
    <w:rsid w:val="00BC6CAC"/>
    <w:rsid w:val="00BC7F10"/>
    <w:rsid w:val="00BD180E"/>
    <w:rsid w:val="00BD1CDB"/>
    <w:rsid w:val="00BD224A"/>
    <w:rsid w:val="00BD2728"/>
    <w:rsid w:val="00BD2889"/>
    <w:rsid w:val="00BD6B8D"/>
    <w:rsid w:val="00BE0276"/>
    <w:rsid w:val="00BE2BA6"/>
    <w:rsid w:val="00BE5C8D"/>
    <w:rsid w:val="00BE64BF"/>
    <w:rsid w:val="00BF37AA"/>
    <w:rsid w:val="00BF70CD"/>
    <w:rsid w:val="00BF723E"/>
    <w:rsid w:val="00C01766"/>
    <w:rsid w:val="00C077E8"/>
    <w:rsid w:val="00C10D54"/>
    <w:rsid w:val="00C11166"/>
    <w:rsid w:val="00C1362B"/>
    <w:rsid w:val="00C13651"/>
    <w:rsid w:val="00C14693"/>
    <w:rsid w:val="00C17BE7"/>
    <w:rsid w:val="00C21F77"/>
    <w:rsid w:val="00C24241"/>
    <w:rsid w:val="00C25E55"/>
    <w:rsid w:val="00C31799"/>
    <w:rsid w:val="00C3294A"/>
    <w:rsid w:val="00C338C1"/>
    <w:rsid w:val="00C37189"/>
    <w:rsid w:val="00C37BEF"/>
    <w:rsid w:val="00C41007"/>
    <w:rsid w:val="00C459B4"/>
    <w:rsid w:val="00C47FF3"/>
    <w:rsid w:val="00C501FB"/>
    <w:rsid w:val="00C50C5A"/>
    <w:rsid w:val="00C523B8"/>
    <w:rsid w:val="00C54134"/>
    <w:rsid w:val="00C5470A"/>
    <w:rsid w:val="00C55240"/>
    <w:rsid w:val="00C5741F"/>
    <w:rsid w:val="00C5797E"/>
    <w:rsid w:val="00C57E59"/>
    <w:rsid w:val="00C6229A"/>
    <w:rsid w:val="00C63C8B"/>
    <w:rsid w:val="00C64588"/>
    <w:rsid w:val="00C66F52"/>
    <w:rsid w:val="00C67AD8"/>
    <w:rsid w:val="00C70FDA"/>
    <w:rsid w:val="00C71B17"/>
    <w:rsid w:val="00C72A15"/>
    <w:rsid w:val="00C737BA"/>
    <w:rsid w:val="00C73B23"/>
    <w:rsid w:val="00C740E7"/>
    <w:rsid w:val="00C75EFB"/>
    <w:rsid w:val="00C7659B"/>
    <w:rsid w:val="00C844C3"/>
    <w:rsid w:val="00C846A7"/>
    <w:rsid w:val="00C922C9"/>
    <w:rsid w:val="00C92499"/>
    <w:rsid w:val="00C970B9"/>
    <w:rsid w:val="00CA2720"/>
    <w:rsid w:val="00CA478A"/>
    <w:rsid w:val="00CA4CE9"/>
    <w:rsid w:val="00CA76D0"/>
    <w:rsid w:val="00CB3C4B"/>
    <w:rsid w:val="00CB4140"/>
    <w:rsid w:val="00CB498D"/>
    <w:rsid w:val="00CB4D23"/>
    <w:rsid w:val="00CB5D3F"/>
    <w:rsid w:val="00CB5EFF"/>
    <w:rsid w:val="00CC51E6"/>
    <w:rsid w:val="00CC67B1"/>
    <w:rsid w:val="00CC79CB"/>
    <w:rsid w:val="00CD1EA0"/>
    <w:rsid w:val="00CD54F4"/>
    <w:rsid w:val="00CD7F94"/>
    <w:rsid w:val="00CE2097"/>
    <w:rsid w:val="00CE2985"/>
    <w:rsid w:val="00CE75AB"/>
    <w:rsid w:val="00CE7977"/>
    <w:rsid w:val="00CF0764"/>
    <w:rsid w:val="00CF0FAF"/>
    <w:rsid w:val="00CF21B9"/>
    <w:rsid w:val="00CF2439"/>
    <w:rsid w:val="00CF26BB"/>
    <w:rsid w:val="00D04D39"/>
    <w:rsid w:val="00D06D6E"/>
    <w:rsid w:val="00D07073"/>
    <w:rsid w:val="00D117DA"/>
    <w:rsid w:val="00D127E2"/>
    <w:rsid w:val="00D141B1"/>
    <w:rsid w:val="00D1524B"/>
    <w:rsid w:val="00D20A59"/>
    <w:rsid w:val="00D2317F"/>
    <w:rsid w:val="00D237AE"/>
    <w:rsid w:val="00D25396"/>
    <w:rsid w:val="00D25EB7"/>
    <w:rsid w:val="00D32704"/>
    <w:rsid w:val="00D32B41"/>
    <w:rsid w:val="00D42E5B"/>
    <w:rsid w:val="00D4613B"/>
    <w:rsid w:val="00D50241"/>
    <w:rsid w:val="00D54CCD"/>
    <w:rsid w:val="00D5645C"/>
    <w:rsid w:val="00D57FD6"/>
    <w:rsid w:val="00D60264"/>
    <w:rsid w:val="00D60A5C"/>
    <w:rsid w:val="00D62B04"/>
    <w:rsid w:val="00D6448F"/>
    <w:rsid w:val="00D67E70"/>
    <w:rsid w:val="00D70518"/>
    <w:rsid w:val="00D7342E"/>
    <w:rsid w:val="00D73A43"/>
    <w:rsid w:val="00D75361"/>
    <w:rsid w:val="00D8260A"/>
    <w:rsid w:val="00D84449"/>
    <w:rsid w:val="00D8588A"/>
    <w:rsid w:val="00D91BCC"/>
    <w:rsid w:val="00D94D38"/>
    <w:rsid w:val="00D94F46"/>
    <w:rsid w:val="00D96543"/>
    <w:rsid w:val="00D97D45"/>
    <w:rsid w:val="00DA30C0"/>
    <w:rsid w:val="00DA3691"/>
    <w:rsid w:val="00DA6578"/>
    <w:rsid w:val="00DB29E3"/>
    <w:rsid w:val="00DB32ED"/>
    <w:rsid w:val="00DB5B2B"/>
    <w:rsid w:val="00DB7087"/>
    <w:rsid w:val="00DB74F5"/>
    <w:rsid w:val="00DC0A60"/>
    <w:rsid w:val="00DC4C53"/>
    <w:rsid w:val="00DC4E5A"/>
    <w:rsid w:val="00DC525F"/>
    <w:rsid w:val="00DD08BD"/>
    <w:rsid w:val="00DD1595"/>
    <w:rsid w:val="00DD2504"/>
    <w:rsid w:val="00DD434C"/>
    <w:rsid w:val="00DD6B41"/>
    <w:rsid w:val="00DE08F2"/>
    <w:rsid w:val="00DE5545"/>
    <w:rsid w:val="00DE6A6A"/>
    <w:rsid w:val="00DE7ADE"/>
    <w:rsid w:val="00DF3A50"/>
    <w:rsid w:val="00DF3E4D"/>
    <w:rsid w:val="00DF5732"/>
    <w:rsid w:val="00DF5872"/>
    <w:rsid w:val="00DF6B0D"/>
    <w:rsid w:val="00E003A2"/>
    <w:rsid w:val="00E00F93"/>
    <w:rsid w:val="00E020ED"/>
    <w:rsid w:val="00E03D39"/>
    <w:rsid w:val="00E121EE"/>
    <w:rsid w:val="00E14A53"/>
    <w:rsid w:val="00E14AAC"/>
    <w:rsid w:val="00E25DAD"/>
    <w:rsid w:val="00E30B0F"/>
    <w:rsid w:val="00E33834"/>
    <w:rsid w:val="00E357F5"/>
    <w:rsid w:val="00E374C2"/>
    <w:rsid w:val="00E41273"/>
    <w:rsid w:val="00E414A0"/>
    <w:rsid w:val="00E4207B"/>
    <w:rsid w:val="00E4357C"/>
    <w:rsid w:val="00E451E5"/>
    <w:rsid w:val="00E4647A"/>
    <w:rsid w:val="00E55921"/>
    <w:rsid w:val="00E60DEF"/>
    <w:rsid w:val="00E61C7E"/>
    <w:rsid w:val="00E673C7"/>
    <w:rsid w:val="00E675C4"/>
    <w:rsid w:val="00E67F43"/>
    <w:rsid w:val="00E75D75"/>
    <w:rsid w:val="00E76204"/>
    <w:rsid w:val="00E764B9"/>
    <w:rsid w:val="00E81E62"/>
    <w:rsid w:val="00E84E3C"/>
    <w:rsid w:val="00E868A4"/>
    <w:rsid w:val="00E90152"/>
    <w:rsid w:val="00E932A5"/>
    <w:rsid w:val="00E93393"/>
    <w:rsid w:val="00E9768E"/>
    <w:rsid w:val="00E97DFB"/>
    <w:rsid w:val="00EA0AE4"/>
    <w:rsid w:val="00EA3E78"/>
    <w:rsid w:val="00EA699D"/>
    <w:rsid w:val="00EB0C65"/>
    <w:rsid w:val="00EB149A"/>
    <w:rsid w:val="00EB34B8"/>
    <w:rsid w:val="00EB45B9"/>
    <w:rsid w:val="00EB646A"/>
    <w:rsid w:val="00EB6E06"/>
    <w:rsid w:val="00EC02B6"/>
    <w:rsid w:val="00EC0AE5"/>
    <w:rsid w:val="00EC0ED8"/>
    <w:rsid w:val="00EE2404"/>
    <w:rsid w:val="00EE36C6"/>
    <w:rsid w:val="00EE47B1"/>
    <w:rsid w:val="00EE599D"/>
    <w:rsid w:val="00EE6ECF"/>
    <w:rsid w:val="00EF35BB"/>
    <w:rsid w:val="00EF437B"/>
    <w:rsid w:val="00EF4E5F"/>
    <w:rsid w:val="00F006BB"/>
    <w:rsid w:val="00F039A2"/>
    <w:rsid w:val="00F03E35"/>
    <w:rsid w:val="00F05A56"/>
    <w:rsid w:val="00F06D06"/>
    <w:rsid w:val="00F109F8"/>
    <w:rsid w:val="00F11CA6"/>
    <w:rsid w:val="00F22354"/>
    <w:rsid w:val="00F22716"/>
    <w:rsid w:val="00F23E84"/>
    <w:rsid w:val="00F30078"/>
    <w:rsid w:val="00F303A5"/>
    <w:rsid w:val="00F3188C"/>
    <w:rsid w:val="00F325CD"/>
    <w:rsid w:val="00F329A6"/>
    <w:rsid w:val="00F35E9E"/>
    <w:rsid w:val="00F36244"/>
    <w:rsid w:val="00F41A59"/>
    <w:rsid w:val="00F46F53"/>
    <w:rsid w:val="00F4750F"/>
    <w:rsid w:val="00F50427"/>
    <w:rsid w:val="00F50AE6"/>
    <w:rsid w:val="00F530AE"/>
    <w:rsid w:val="00F56F63"/>
    <w:rsid w:val="00F62186"/>
    <w:rsid w:val="00F63B74"/>
    <w:rsid w:val="00F647D4"/>
    <w:rsid w:val="00F7032F"/>
    <w:rsid w:val="00F7407D"/>
    <w:rsid w:val="00F7734E"/>
    <w:rsid w:val="00F84E72"/>
    <w:rsid w:val="00F8598B"/>
    <w:rsid w:val="00F90A7A"/>
    <w:rsid w:val="00F93978"/>
    <w:rsid w:val="00F9670D"/>
    <w:rsid w:val="00FA33E0"/>
    <w:rsid w:val="00FA37CB"/>
    <w:rsid w:val="00FB0500"/>
    <w:rsid w:val="00FB0C49"/>
    <w:rsid w:val="00FB1C0E"/>
    <w:rsid w:val="00FB757E"/>
    <w:rsid w:val="00FB7AC1"/>
    <w:rsid w:val="00FC5386"/>
    <w:rsid w:val="00FC5A90"/>
    <w:rsid w:val="00FC5DA6"/>
    <w:rsid w:val="00FC6AE7"/>
    <w:rsid w:val="00FC705A"/>
    <w:rsid w:val="00FD76F4"/>
    <w:rsid w:val="00FE2785"/>
    <w:rsid w:val="00FE4D3F"/>
    <w:rsid w:val="00FF2AC5"/>
    <w:rsid w:val="00FF3047"/>
    <w:rsid w:val="00FF58E9"/>
    <w:rsid w:val="00FF6BD8"/>
    <w:rsid w:val="00FF6FBC"/>
    <w:rsid w:val="0161CA65"/>
    <w:rsid w:val="02788D2E"/>
    <w:rsid w:val="02890A85"/>
    <w:rsid w:val="02B5FDF4"/>
    <w:rsid w:val="03EDBF75"/>
    <w:rsid w:val="0573D12A"/>
    <w:rsid w:val="06AE49E2"/>
    <w:rsid w:val="0722A87B"/>
    <w:rsid w:val="0791A1F1"/>
    <w:rsid w:val="07AC2615"/>
    <w:rsid w:val="07CF2112"/>
    <w:rsid w:val="0A48388B"/>
    <w:rsid w:val="0A7507B2"/>
    <w:rsid w:val="0BA617A5"/>
    <w:rsid w:val="0C6219CA"/>
    <w:rsid w:val="0C9F87B8"/>
    <w:rsid w:val="0D1B8BC0"/>
    <w:rsid w:val="0D520086"/>
    <w:rsid w:val="0E6CE62A"/>
    <w:rsid w:val="10817CBA"/>
    <w:rsid w:val="10A685EF"/>
    <w:rsid w:val="11440510"/>
    <w:rsid w:val="12F5014D"/>
    <w:rsid w:val="13974C17"/>
    <w:rsid w:val="15F9066E"/>
    <w:rsid w:val="185F60B4"/>
    <w:rsid w:val="18876064"/>
    <w:rsid w:val="18BB3828"/>
    <w:rsid w:val="1AD6FFD3"/>
    <w:rsid w:val="1CF77AC7"/>
    <w:rsid w:val="1E084E03"/>
    <w:rsid w:val="1EF93F1A"/>
    <w:rsid w:val="20012BC0"/>
    <w:rsid w:val="206557BD"/>
    <w:rsid w:val="23B48F97"/>
    <w:rsid w:val="24CF67C9"/>
    <w:rsid w:val="252FED76"/>
    <w:rsid w:val="25D1F7B5"/>
    <w:rsid w:val="275D16EE"/>
    <w:rsid w:val="29CD7B9B"/>
    <w:rsid w:val="2BB4840F"/>
    <w:rsid w:val="302F8881"/>
    <w:rsid w:val="311ECE16"/>
    <w:rsid w:val="32109E67"/>
    <w:rsid w:val="3379610B"/>
    <w:rsid w:val="3387C900"/>
    <w:rsid w:val="36090154"/>
    <w:rsid w:val="36A7FE78"/>
    <w:rsid w:val="37D5152A"/>
    <w:rsid w:val="388F19E4"/>
    <w:rsid w:val="38E1A4FB"/>
    <w:rsid w:val="3909F69C"/>
    <w:rsid w:val="3A5B44EF"/>
    <w:rsid w:val="3ADA706A"/>
    <w:rsid w:val="3B7E2F04"/>
    <w:rsid w:val="3D4AAFDF"/>
    <w:rsid w:val="3DD2CC3B"/>
    <w:rsid w:val="3FCBD0A6"/>
    <w:rsid w:val="4044C9AA"/>
    <w:rsid w:val="40BE6502"/>
    <w:rsid w:val="415A876F"/>
    <w:rsid w:val="41BF64FD"/>
    <w:rsid w:val="43509EA9"/>
    <w:rsid w:val="43ECF1FA"/>
    <w:rsid w:val="44DD63CA"/>
    <w:rsid w:val="45C8CC11"/>
    <w:rsid w:val="46221458"/>
    <w:rsid w:val="4757D419"/>
    <w:rsid w:val="48FB566F"/>
    <w:rsid w:val="4AC5456F"/>
    <w:rsid w:val="4B1E3AFA"/>
    <w:rsid w:val="4F43CCB3"/>
    <w:rsid w:val="5020CFFF"/>
    <w:rsid w:val="51D44DD7"/>
    <w:rsid w:val="53641914"/>
    <w:rsid w:val="5515B191"/>
    <w:rsid w:val="559498C3"/>
    <w:rsid w:val="584BC19F"/>
    <w:rsid w:val="591024BF"/>
    <w:rsid w:val="5C0ABC25"/>
    <w:rsid w:val="5CAE2867"/>
    <w:rsid w:val="5CC05963"/>
    <w:rsid w:val="5E515FB4"/>
    <w:rsid w:val="6015A38A"/>
    <w:rsid w:val="62AC257F"/>
    <w:rsid w:val="6403FE5D"/>
    <w:rsid w:val="64A84D65"/>
    <w:rsid w:val="64E19C9F"/>
    <w:rsid w:val="64E9CED1"/>
    <w:rsid w:val="67829B5F"/>
    <w:rsid w:val="67CB08F5"/>
    <w:rsid w:val="68D2C62E"/>
    <w:rsid w:val="69316B50"/>
    <w:rsid w:val="69BEA31B"/>
    <w:rsid w:val="6A1BD85B"/>
    <w:rsid w:val="6A2EEE52"/>
    <w:rsid w:val="6B025CB3"/>
    <w:rsid w:val="6B292A6E"/>
    <w:rsid w:val="6B52B43B"/>
    <w:rsid w:val="6CEEEF46"/>
    <w:rsid w:val="6D8D5105"/>
    <w:rsid w:val="6EE1A421"/>
    <w:rsid w:val="6F233813"/>
    <w:rsid w:val="71E11EE3"/>
    <w:rsid w:val="731B6E50"/>
    <w:rsid w:val="7385A75D"/>
    <w:rsid w:val="760A2CB0"/>
    <w:rsid w:val="764D28A8"/>
    <w:rsid w:val="76C42AAC"/>
    <w:rsid w:val="779E0C8C"/>
    <w:rsid w:val="77B4DBE6"/>
    <w:rsid w:val="78F0AF43"/>
    <w:rsid w:val="7BA1474B"/>
    <w:rsid w:val="7D3764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478904"/>
  <w15:chartTrackingRefBased/>
  <w15:docId w15:val="{8B72CDFD-625E-483C-AA2C-C1B2C5108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B12"/>
    <w:pPr>
      <w:spacing w:after="180" w:line="240" w:lineRule="auto"/>
    </w:pPr>
    <w:rPr>
      <w:rFonts w:ascii="Times New Roman" w:eastAsia="Malgun Gothic" w:hAnsi="Times New Roman" w:cs="Times New Roman"/>
      <w:kern w:val="0"/>
      <w:sz w:val="20"/>
      <w:szCs w:val="20"/>
      <w:lang w:val="en-GB"/>
      <w14:ligatures w14:val="none"/>
    </w:rPr>
  </w:style>
  <w:style w:type="paragraph" w:styleId="Heading1">
    <w:name w:val="heading 1"/>
    <w:next w:val="Normal"/>
    <w:link w:val="Heading1Char"/>
    <w:qFormat/>
    <w:rsid w:val="00453B12"/>
    <w:pPr>
      <w:keepNext/>
      <w:keepLines/>
      <w:pBdr>
        <w:top w:val="single" w:sz="12" w:space="3" w:color="auto"/>
      </w:pBdr>
      <w:spacing w:before="240" w:after="180" w:line="240" w:lineRule="auto"/>
      <w:ind w:left="1134" w:hanging="1134"/>
      <w:outlineLvl w:val="0"/>
    </w:pPr>
    <w:rPr>
      <w:rFonts w:ascii="Arial" w:eastAsia="Malgun Gothic"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A819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819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A37C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qFormat/>
    <w:rsid w:val="00C37189"/>
    <w:rPr>
      <w:rFonts w:ascii="Arial Narrow" w:hAnsi="Arial Narrow"/>
      <w:color w:val="833C0B" w:themeColor="accent2" w:themeShade="80"/>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목록 단,3 Txt tabla"/>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3F4986"/>
    <w:pPr>
      <w:numPr>
        <w:numId w:val="4"/>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453B12"/>
    <w:rPr>
      <w:rFonts w:ascii="Arial" w:eastAsia="Malgun Gothic" w:hAnsi="Arial" w:cs="Times New Roman"/>
      <w:kern w:val="0"/>
      <w:sz w:val="36"/>
      <w:szCs w:val="20"/>
      <w:lang w:val="en-GB"/>
      <w14:ligatures w14:val="none"/>
    </w:rPr>
  </w:style>
  <w:style w:type="paragraph" w:styleId="TOC1">
    <w:name w:val="toc 1"/>
    <w:uiPriority w:val="39"/>
    <w:rsid w:val="00453B12"/>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kern w:val="0"/>
      <w:szCs w:val="20"/>
      <w:lang w:val="en-GB"/>
      <w14:ligatures w14:val="none"/>
    </w:rPr>
  </w:style>
  <w:style w:type="paragraph" w:styleId="Footer">
    <w:name w:val="footer"/>
    <w:basedOn w:val="Normal"/>
    <w:link w:val="FooterChar"/>
    <w:rsid w:val="00453B12"/>
    <w:pPr>
      <w:widowControl w:val="0"/>
      <w:spacing w:after="0"/>
      <w:jc w:val="center"/>
    </w:pPr>
    <w:rPr>
      <w:rFonts w:ascii="Arial" w:hAnsi="Arial"/>
      <w:b/>
      <w:i/>
      <w:noProof/>
      <w:sz w:val="18"/>
    </w:rPr>
  </w:style>
  <w:style w:type="character" w:customStyle="1" w:styleId="FooterChar">
    <w:name w:val="Footer Char"/>
    <w:basedOn w:val="DefaultParagraphFont"/>
    <w:link w:val="Footer"/>
    <w:rsid w:val="00453B12"/>
    <w:rPr>
      <w:rFonts w:ascii="Arial" w:eastAsia="Malgun Gothic" w:hAnsi="Arial" w:cs="Times New Roman"/>
      <w:b/>
      <w:i/>
      <w:noProof/>
      <w:kern w:val="0"/>
      <w:sz w:val="18"/>
      <w:szCs w:val="20"/>
      <w:lang w:val="en-GB"/>
      <w14:ligatures w14:val="none"/>
    </w:rPr>
  </w:style>
  <w:style w:type="paragraph" w:customStyle="1" w:styleId="B1">
    <w:name w:val="B1"/>
    <w:basedOn w:val="Normal"/>
    <w:link w:val="B1Char"/>
    <w:qFormat/>
    <w:rsid w:val="00453B12"/>
    <w:pPr>
      <w:ind w:left="568" w:hanging="284"/>
    </w:pPr>
    <w:rPr>
      <w:lang w:eastAsia="x-none"/>
    </w:rPr>
  </w:style>
  <w:style w:type="character" w:customStyle="1" w:styleId="B1Char">
    <w:name w:val="B1 Char"/>
    <w:link w:val="B1"/>
    <w:qFormat/>
    <w:rsid w:val="00453B12"/>
    <w:rPr>
      <w:rFonts w:ascii="Times New Roman" w:eastAsia="Malgun Gothic" w:hAnsi="Times New Roman" w:cs="Times New Roman"/>
      <w:kern w:val="0"/>
      <w:sz w:val="20"/>
      <w:szCs w:val="20"/>
      <w:lang w:val="en-GB" w:eastAsia="x-none"/>
      <w14:ligatures w14:val="none"/>
    </w:rPr>
  </w:style>
  <w:style w:type="paragraph" w:customStyle="1" w:styleId="Doc-text2">
    <w:name w:val="Doc-text2"/>
    <w:basedOn w:val="Normal"/>
    <w:link w:val="Doc-text2Char"/>
    <w:qFormat/>
    <w:rsid w:val="00453B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53B12"/>
    <w:rPr>
      <w:rFonts w:ascii="Arial" w:eastAsia="MS Mincho" w:hAnsi="Arial" w:cs="Times New Roman"/>
      <w:kern w:val="0"/>
      <w:sz w:val="20"/>
      <w:szCs w:val="24"/>
      <w:lang w:val="en-GB" w:eastAsia="en-GB"/>
      <w14:ligatures w14:val="none"/>
    </w:rPr>
  </w:style>
  <w:style w:type="paragraph" w:styleId="Caption">
    <w:name w:val="caption"/>
    <w:basedOn w:val="Normal"/>
    <w:next w:val="Normal"/>
    <w:uiPriority w:val="35"/>
    <w:qFormat/>
    <w:rsid w:val="00453B12"/>
    <w:rPr>
      <w:b/>
      <w:bC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453B12"/>
  </w:style>
  <w:style w:type="paragraph" w:styleId="Title">
    <w:name w:val="Title"/>
    <w:basedOn w:val="Normal"/>
    <w:next w:val="Normal"/>
    <w:link w:val="TitleChar"/>
    <w:uiPriority w:val="10"/>
    <w:qFormat/>
    <w:rsid w:val="00453B1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3B12"/>
    <w:rPr>
      <w:rFonts w:asciiTheme="majorHAnsi" w:eastAsiaTheme="majorEastAsia" w:hAnsiTheme="majorHAnsi" w:cstheme="majorBidi"/>
      <w:spacing w:val="-10"/>
      <w:kern w:val="28"/>
      <w:sz w:val="56"/>
      <w:szCs w:val="56"/>
      <w:lang w:val="en-GB"/>
      <w14:ligatures w14:val="none"/>
    </w:rPr>
  </w:style>
  <w:style w:type="paragraph" w:customStyle="1" w:styleId="Observation">
    <w:name w:val="Observation"/>
    <w:basedOn w:val="ListParagraph"/>
    <w:next w:val="Normal"/>
    <w:link w:val="ObservationChar"/>
    <w:autoRedefine/>
    <w:qFormat/>
    <w:rsid w:val="00A7483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A7483D"/>
    <w:rPr>
      <w:rFonts w:ascii="Times New Roman" w:eastAsia="Times New Roman" w:hAnsi="Times New Roman" w:cs="Times New Roman"/>
      <w:b/>
      <w:kern w:val="0"/>
      <w:sz w:val="20"/>
      <w:szCs w:val="20"/>
      <w:lang w:val="en-GB"/>
      <w14:ligatures w14:val="none"/>
    </w:rPr>
  </w:style>
  <w:style w:type="paragraph" w:customStyle="1" w:styleId="TAL">
    <w:name w:val="TAL"/>
    <w:basedOn w:val="Normal"/>
    <w:link w:val="TALCar"/>
    <w:qFormat/>
    <w:rsid w:val="00C523B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C523B8"/>
    <w:rPr>
      <w:rFonts w:ascii="Arial" w:eastAsia="Times New Roman" w:hAnsi="Arial" w:cs="Times New Roman"/>
      <w:kern w:val="0"/>
      <w:sz w:val="18"/>
      <w:szCs w:val="20"/>
      <w:lang w:val="en-GB" w:eastAsia="ja-JP"/>
      <w14:ligatures w14:val="none"/>
    </w:rPr>
  </w:style>
  <w:style w:type="character" w:customStyle="1" w:styleId="Heading2Char">
    <w:name w:val="Heading 2 Char"/>
    <w:basedOn w:val="DefaultParagraphFont"/>
    <w:link w:val="Heading2"/>
    <w:uiPriority w:val="9"/>
    <w:semiHidden/>
    <w:rsid w:val="00A8191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A81919"/>
    <w:rPr>
      <w:rFonts w:asciiTheme="majorHAnsi" w:eastAsiaTheme="majorEastAsia" w:hAnsiTheme="majorHAnsi" w:cstheme="majorBidi"/>
      <w:color w:val="1F3763" w:themeColor="accent1" w:themeShade="7F"/>
      <w:kern w:val="0"/>
      <w:sz w:val="24"/>
      <w:szCs w:val="24"/>
      <w:lang w:val="en-GB"/>
      <w14:ligatures w14:val="none"/>
    </w:rPr>
  </w:style>
  <w:style w:type="paragraph" w:styleId="CommentText">
    <w:name w:val="annotation text"/>
    <w:basedOn w:val="Normal"/>
    <w:link w:val="CommentTextChar"/>
    <w:autoRedefine/>
    <w:uiPriority w:val="99"/>
    <w:qFormat/>
    <w:rsid w:val="00B81D9C"/>
    <w:pPr>
      <w:overflowPunct w:val="0"/>
      <w:autoSpaceDE w:val="0"/>
      <w:autoSpaceDN w:val="0"/>
      <w:adjustRightInd w:val="0"/>
      <w:textAlignment w:val="baseline"/>
    </w:pPr>
    <w:rPr>
      <w:rFonts w:eastAsia="PMingLiU"/>
      <w:sz w:val="22"/>
      <w:szCs w:val="22"/>
      <w:lang w:val="en-US" w:eastAsia="zh-TW"/>
    </w:rPr>
  </w:style>
  <w:style w:type="character" w:customStyle="1" w:styleId="CommentTextChar">
    <w:name w:val="Comment Text Char"/>
    <w:basedOn w:val="DefaultParagraphFont"/>
    <w:link w:val="CommentText"/>
    <w:uiPriority w:val="99"/>
    <w:qFormat/>
    <w:rsid w:val="00B81D9C"/>
    <w:rPr>
      <w:rFonts w:ascii="Times New Roman" w:eastAsia="PMingLiU" w:hAnsi="Times New Roman" w:cs="Times New Roman"/>
      <w:kern w:val="0"/>
      <w:lang w:eastAsia="zh-TW"/>
      <w14:ligatures w14:val="none"/>
    </w:rPr>
  </w:style>
  <w:style w:type="character" w:styleId="CommentReference">
    <w:name w:val="annotation reference"/>
    <w:basedOn w:val="DefaultParagraphFont"/>
    <w:autoRedefine/>
    <w:qFormat/>
    <w:rsid w:val="00B81D9C"/>
    <w:rPr>
      <w:sz w:val="16"/>
      <w:szCs w:val="16"/>
    </w:rPr>
  </w:style>
  <w:style w:type="character" w:customStyle="1" w:styleId="B1Char1">
    <w:name w:val="B1 Char1"/>
    <w:autoRedefine/>
    <w:qFormat/>
    <w:rsid w:val="00B81D9C"/>
    <w:rPr>
      <w:rFonts w:eastAsia="Times New Roman"/>
      <w:lang w:val="en-GB" w:eastAsia="ja-JP"/>
    </w:rPr>
  </w:style>
  <w:style w:type="paragraph" w:customStyle="1" w:styleId="Editorsnote">
    <w:name w:val="Editor´s note"/>
    <w:basedOn w:val="List5"/>
    <w:next w:val="Normal"/>
    <w:link w:val="EditorsnoteChar"/>
    <w:autoRedefine/>
    <w:qFormat/>
    <w:rsid w:val="00B81D9C"/>
    <w:pPr>
      <w:overflowPunct w:val="0"/>
      <w:autoSpaceDE w:val="0"/>
      <w:autoSpaceDN w:val="0"/>
      <w:adjustRightInd w:val="0"/>
      <w:ind w:left="1702" w:hanging="284"/>
      <w:contextualSpacing w:val="0"/>
      <w:textAlignment w:val="baseline"/>
    </w:pPr>
    <w:rPr>
      <w:rFonts w:eastAsia="Times New Roman"/>
      <w:sz w:val="22"/>
      <w:szCs w:val="22"/>
      <w:lang w:val="fi-FI" w:eastAsia="ja-JP"/>
    </w:rPr>
  </w:style>
  <w:style w:type="character" w:customStyle="1" w:styleId="EditorsnoteChar">
    <w:name w:val="Editor´s note Char"/>
    <w:link w:val="Editorsnote"/>
    <w:autoRedefine/>
    <w:qFormat/>
    <w:rsid w:val="00B81D9C"/>
    <w:rPr>
      <w:rFonts w:ascii="Times New Roman" w:eastAsia="Times New Roman" w:hAnsi="Times New Roman" w:cs="Times New Roman"/>
      <w:kern w:val="0"/>
      <w:lang w:val="fi-FI" w:eastAsia="ja-JP"/>
      <w14:ligatures w14:val="none"/>
    </w:rPr>
  </w:style>
  <w:style w:type="paragraph" w:styleId="List5">
    <w:name w:val="List 5"/>
    <w:basedOn w:val="Normal"/>
    <w:uiPriority w:val="99"/>
    <w:semiHidden/>
    <w:unhideWhenUsed/>
    <w:rsid w:val="00B81D9C"/>
    <w:pPr>
      <w:ind w:left="1800" w:hanging="360"/>
      <w:contextualSpacing/>
    </w:pPr>
  </w:style>
  <w:style w:type="paragraph" w:styleId="Revision">
    <w:name w:val="Revision"/>
    <w:hidden/>
    <w:uiPriority w:val="99"/>
    <w:semiHidden/>
    <w:rsid w:val="00AB5F35"/>
    <w:pPr>
      <w:spacing w:after="0" w:line="240" w:lineRule="auto"/>
    </w:pPr>
    <w:rPr>
      <w:rFonts w:ascii="Times New Roman" w:eastAsia="Malgun Gothic" w:hAnsi="Times New Roman" w:cs="Times New Roman"/>
      <w:kern w:val="0"/>
      <w:sz w:val="20"/>
      <w:szCs w:val="20"/>
      <w:lang w:val="en-GB"/>
      <w14:ligatures w14:val="none"/>
    </w:rPr>
  </w:style>
  <w:style w:type="table" w:styleId="TableGrid">
    <w:name w:val="Table Grid"/>
    <w:basedOn w:val="TableNormal"/>
    <w:uiPriority w:val="59"/>
    <w:qFormat/>
    <w:rsid w:val="00CB3C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autoRedefine/>
    <w:qFormat/>
    <w:rsid w:val="00660099"/>
    <w:pPr>
      <w:overflowPunct w:val="0"/>
      <w:autoSpaceDE w:val="0"/>
      <w:autoSpaceDN w:val="0"/>
      <w:adjustRightInd w:val="0"/>
      <w:ind w:left="851" w:hanging="284"/>
      <w:contextualSpacing w:val="0"/>
      <w:textAlignment w:val="baseline"/>
    </w:pPr>
    <w:rPr>
      <w:rFonts w:eastAsia="Times New Roman"/>
      <w:sz w:val="22"/>
      <w:szCs w:val="22"/>
      <w:lang w:val="fi-FI" w:eastAsia="ja-JP"/>
    </w:rPr>
  </w:style>
  <w:style w:type="character" w:customStyle="1" w:styleId="B2Char">
    <w:name w:val="B2 Char"/>
    <w:link w:val="B2"/>
    <w:autoRedefine/>
    <w:qFormat/>
    <w:rsid w:val="00660099"/>
    <w:rPr>
      <w:rFonts w:ascii="Times New Roman" w:eastAsia="Times New Roman" w:hAnsi="Times New Roman" w:cs="Times New Roman"/>
      <w:kern w:val="0"/>
      <w:lang w:val="fi-FI" w:eastAsia="ja-JP"/>
      <w14:ligatures w14:val="none"/>
    </w:rPr>
  </w:style>
  <w:style w:type="paragraph" w:customStyle="1" w:styleId="B3">
    <w:name w:val="B3"/>
    <w:basedOn w:val="List3"/>
    <w:link w:val="B3Char2"/>
    <w:autoRedefine/>
    <w:qFormat/>
    <w:rsid w:val="00660099"/>
    <w:pPr>
      <w:overflowPunct w:val="0"/>
      <w:autoSpaceDE w:val="0"/>
      <w:autoSpaceDN w:val="0"/>
      <w:adjustRightInd w:val="0"/>
      <w:ind w:left="1135" w:hanging="284"/>
      <w:contextualSpacing w:val="0"/>
      <w:textAlignment w:val="baseline"/>
    </w:pPr>
    <w:rPr>
      <w:rFonts w:eastAsia="Times New Roman"/>
      <w:sz w:val="22"/>
      <w:szCs w:val="22"/>
      <w:lang w:val="fi-FI" w:eastAsia="ja-JP"/>
    </w:rPr>
  </w:style>
  <w:style w:type="character" w:customStyle="1" w:styleId="B3Char2">
    <w:name w:val="B3 Char2"/>
    <w:link w:val="B3"/>
    <w:autoRedefine/>
    <w:qFormat/>
    <w:rsid w:val="00660099"/>
    <w:rPr>
      <w:rFonts w:ascii="Times New Roman" w:eastAsia="Times New Roman" w:hAnsi="Times New Roman" w:cs="Times New Roman"/>
      <w:kern w:val="0"/>
      <w:lang w:val="fi-FI" w:eastAsia="ja-JP"/>
      <w14:ligatures w14:val="none"/>
    </w:rPr>
  </w:style>
  <w:style w:type="paragraph" w:styleId="List2">
    <w:name w:val="List 2"/>
    <w:basedOn w:val="Normal"/>
    <w:uiPriority w:val="99"/>
    <w:semiHidden/>
    <w:unhideWhenUsed/>
    <w:rsid w:val="00660099"/>
    <w:pPr>
      <w:ind w:left="720" w:hanging="360"/>
      <w:contextualSpacing/>
    </w:pPr>
  </w:style>
  <w:style w:type="paragraph" w:styleId="List3">
    <w:name w:val="List 3"/>
    <w:basedOn w:val="Normal"/>
    <w:uiPriority w:val="99"/>
    <w:semiHidden/>
    <w:unhideWhenUsed/>
    <w:rsid w:val="00660099"/>
    <w:pPr>
      <w:ind w:left="1080" w:hanging="360"/>
      <w:contextualSpacing/>
    </w:pPr>
  </w:style>
  <w:style w:type="paragraph" w:customStyle="1" w:styleId="PL">
    <w:name w:val="PL"/>
    <w:link w:val="PLChar"/>
    <w:autoRedefine/>
    <w:qFormat/>
    <w:rsid w:val="004D1A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character" w:customStyle="1" w:styleId="PLChar">
    <w:name w:val="PL Char"/>
    <w:link w:val="PL"/>
    <w:autoRedefine/>
    <w:qFormat/>
    <w:rsid w:val="004D1A5F"/>
    <w:rPr>
      <w:rFonts w:ascii="Courier New" w:eastAsia="Times New Roman" w:hAnsi="Courier New" w:cs="Times New Roman"/>
      <w:kern w:val="0"/>
      <w:sz w:val="16"/>
      <w:szCs w:val="20"/>
      <w:shd w:val="clear" w:color="auto" w:fill="E6E6E6"/>
      <w:lang w:val="en-GB" w:eastAsia="en-GB"/>
      <w14:ligatures w14:val="none"/>
    </w:rPr>
  </w:style>
  <w:style w:type="character" w:customStyle="1" w:styleId="Heading4Char">
    <w:name w:val="Heading 4 Char"/>
    <w:basedOn w:val="DefaultParagraphFont"/>
    <w:link w:val="Heading4"/>
    <w:uiPriority w:val="9"/>
    <w:semiHidden/>
    <w:rsid w:val="00FA37CB"/>
    <w:rPr>
      <w:rFonts w:asciiTheme="majorHAnsi" w:eastAsiaTheme="majorEastAsia" w:hAnsiTheme="majorHAnsi" w:cstheme="majorBidi"/>
      <w:i/>
      <w:iCs/>
      <w:color w:val="2F5496" w:themeColor="accent1" w:themeShade="BF"/>
      <w:kern w:val="0"/>
      <w:sz w:val="20"/>
      <w:szCs w:val="20"/>
      <w:lang w:val="en-GB"/>
      <w14:ligatures w14:val="none"/>
    </w:rPr>
  </w:style>
  <w:style w:type="paragraph" w:customStyle="1" w:styleId="TH">
    <w:name w:val="TH"/>
    <w:basedOn w:val="Normal"/>
    <w:link w:val="THChar"/>
    <w:qFormat/>
    <w:rsid w:val="00B147AB"/>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B147AB"/>
    <w:rPr>
      <w:rFonts w:ascii="Arial" w:eastAsia="Times New Roman" w:hAnsi="Arial" w:cs="Times New Roman"/>
      <w:b/>
      <w:kern w:val="0"/>
      <w:sz w:val="20"/>
      <w:szCs w:val="20"/>
      <w:lang w:val="en-GB" w:eastAsia="ja-JP"/>
      <w14:ligatures w14:val="none"/>
    </w:rPr>
  </w:style>
  <w:style w:type="paragraph" w:styleId="Header">
    <w:name w:val="header"/>
    <w:basedOn w:val="Normal"/>
    <w:link w:val="HeaderChar"/>
    <w:uiPriority w:val="99"/>
    <w:semiHidden/>
    <w:unhideWhenUsed/>
    <w:rsid w:val="009362FF"/>
    <w:pPr>
      <w:tabs>
        <w:tab w:val="center" w:pos="4680"/>
        <w:tab w:val="right" w:pos="9360"/>
      </w:tabs>
      <w:spacing w:after="0"/>
    </w:pPr>
  </w:style>
  <w:style w:type="character" w:customStyle="1" w:styleId="HeaderChar">
    <w:name w:val="Header Char"/>
    <w:basedOn w:val="DefaultParagraphFont"/>
    <w:link w:val="Header"/>
    <w:uiPriority w:val="99"/>
    <w:semiHidden/>
    <w:rsid w:val="009362FF"/>
    <w:rPr>
      <w:rFonts w:ascii="Times New Roman" w:eastAsia="Malgun Gothic" w:hAnsi="Times New Roman" w:cs="Times New Roman"/>
      <w:kern w:val="0"/>
      <w:sz w:val="20"/>
      <w:szCs w:val="20"/>
      <w:lang w:val="en-GB"/>
      <w14:ligatures w14:val="none"/>
    </w:rPr>
  </w:style>
  <w:style w:type="paragraph" w:customStyle="1" w:styleId="NO">
    <w:name w:val="NO"/>
    <w:basedOn w:val="Normal"/>
    <w:link w:val="NOChar1"/>
    <w:qFormat/>
    <w:rsid w:val="00EB0C65"/>
    <w:pPr>
      <w:keepLines/>
      <w:overflowPunct w:val="0"/>
      <w:autoSpaceDE w:val="0"/>
      <w:autoSpaceDN w:val="0"/>
      <w:adjustRightInd w:val="0"/>
      <w:ind w:left="1135" w:hanging="851"/>
      <w:textAlignment w:val="baseline"/>
    </w:pPr>
    <w:rPr>
      <w:rFonts w:eastAsia="Times New Roman"/>
      <w:lang w:eastAsia="ja-JP"/>
    </w:rPr>
  </w:style>
  <w:style w:type="character" w:customStyle="1" w:styleId="NOChar1">
    <w:name w:val="NO Char1"/>
    <w:link w:val="NO"/>
    <w:qFormat/>
    <w:rsid w:val="00EB0C65"/>
    <w:rPr>
      <w:rFonts w:ascii="Times New Roman" w:eastAsia="Times New Roman" w:hAnsi="Times New Roman" w:cs="Times New Roman"/>
      <w:kern w:val="0"/>
      <w:sz w:val="20"/>
      <w:szCs w:val="20"/>
      <w:lang w:val="en-GB" w:eastAsia="ja-JP"/>
      <w14:ligatures w14:val="none"/>
    </w:rPr>
  </w:style>
  <w:style w:type="paragraph" w:customStyle="1" w:styleId="Agreement">
    <w:name w:val="Agreement"/>
    <w:basedOn w:val="Normal"/>
    <w:next w:val="Doc-text2"/>
    <w:qFormat/>
    <w:rsid w:val="004768A4"/>
    <w:pPr>
      <w:numPr>
        <w:numId w:val="3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9227">
      <w:bodyDiv w:val="1"/>
      <w:marLeft w:val="0"/>
      <w:marRight w:val="0"/>
      <w:marTop w:val="0"/>
      <w:marBottom w:val="0"/>
      <w:divBdr>
        <w:top w:val="none" w:sz="0" w:space="0" w:color="auto"/>
        <w:left w:val="none" w:sz="0" w:space="0" w:color="auto"/>
        <w:bottom w:val="none" w:sz="0" w:space="0" w:color="auto"/>
        <w:right w:val="none" w:sz="0" w:space="0" w:color="auto"/>
      </w:divBdr>
    </w:div>
    <w:div w:id="338626135">
      <w:bodyDiv w:val="1"/>
      <w:marLeft w:val="0"/>
      <w:marRight w:val="0"/>
      <w:marTop w:val="0"/>
      <w:marBottom w:val="0"/>
      <w:divBdr>
        <w:top w:val="none" w:sz="0" w:space="0" w:color="auto"/>
        <w:left w:val="none" w:sz="0" w:space="0" w:color="auto"/>
        <w:bottom w:val="none" w:sz="0" w:space="0" w:color="auto"/>
        <w:right w:val="none" w:sz="0" w:space="0" w:color="auto"/>
      </w:divBdr>
    </w:div>
    <w:div w:id="991760458">
      <w:bodyDiv w:val="1"/>
      <w:marLeft w:val="0"/>
      <w:marRight w:val="0"/>
      <w:marTop w:val="0"/>
      <w:marBottom w:val="0"/>
      <w:divBdr>
        <w:top w:val="none" w:sz="0" w:space="0" w:color="auto"/>
        <w:left w:val="none" w:sz="0" w:space="0" w:color="auto"/>
        <w:bottom w:val="none" w:sz="0" w:space="0" w:color="auto"/>
        <w:right w:val="none" w:sz="0" w:space="0" w:color="auto"/>
      </w:divBdr>
    </w:div>
    <w:div w:id="1713991126">
      <w:bodyDiv w:val="1"/>
      <w:marLeft w:val="0"/>
      <w:marRight w:val="0"/>
      <w:marTop w:val="0"/>
      <w:marBottom w:val="0"/>
      <w:divBdr>
        <w:top w:val="none" w:sz="0" w:space="0" w:color="auto"/>
        <w:left w:val="none" w:sz="0" w:space="0" w:color="auto"/>
        <w:bottom w:val="none" w:sz="0" w:space="0" w:color="auto"/>
        <w:right w:val="none" w:sz="0" w:space="0" w:color="auto"/>
      </w:divBdr>
      <w:divsChild>
        <w:div w:id="807745639">
          <w:marLeft w:val="547"/>
          <w:marRight w:val="0"/>
          <w:marTop w:val="21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A767C-F871-41A0-AF07-92663D96174C}">
  <ds:schemaRefs>
    <ds:schemaRef ds:uri="http://schemas.microsoft.com/sharepoint/v3/contenttype/forms"/>
  </ds:schemaRefs>
</ds:datastoreItem>
</file>

<file path=customXml/itemProps2.xml><?xml version="1.0" encoding="utf-8"?>
<ds:datastoreItem xmlns:ds="http://schemas.openxmlformats.org/officeDocument/2006/customXml" ds:itemID="{3A429155-5C2E-4FFD-A7B8-0946FE21A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CD1BA-6A74-4D05-A707-D659A155C9AB}">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6199286F-E418-40B3-BC50-2BDAA132D6AD}">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1275</Words>
  <Characters>7271</Characters>
  <Application>Microsoft Office Word</Application>
  <DocSecurity>0</DocSecurity>
  <Lines>60</Lines>
  <Paragraphs>17</Paragraphs>
  <ScaleCrop>false</ScaleCrop>
  <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QC-Bharat</dc:creator>
  <cp:keywords/>
  <dc:description/>
  <cp:lastModifiedBy>Bharat-QC</cp:lastModifiedBy>
  <cp:revision>161</cp:revision>
  <dcterms:created xsi:type="dcterms:W3CDTF">2025-10-02T17:43:00Z</dcterms:created>
  <dcterms:modified xsi:type="dcterms:W3CDTF">2025-10-03T00:22:00Z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